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w:t>
      </w:r>
      <w:bookmarkStart w:id="33" w:name="_GoBack"/>
      <w:bookmarkEnd w:id="33"/>
      <w:r>
        <w:rPr>
          <w:rFonts w:hint="eastAsia" w:ascii="方正小标宋_GBK" w:hAnsi="华文中宋" w:eastAsia="方正小标宋_GBK" w:cs="宋体"/>
          <w:b/>
          <w:kern w:val="0"/>
          <w:sz w:val="48"/>
          <w:szCs w:val="48"/>
          <w:lang w:eastAsia="zh-CN"/>
        </w:rPr>
        <w:t>喀拉达拉镇人民政府</w:t>
      </w:r>
      <w:r>
        <w:rPr>
          <w:rFonts w:hint="eastAsia" w:ascii="方正小标宋_GBK" w:hAnsi="华文中宋" w:eastAsia="方正小标宋_GBK" w:cs="宋体"/>
          <w:b/>
          <w:kern w:val="0"/>
          <w:sz w:val="48"/>
          <w:szCs w:val="48"/>
        </w:rPr>
        <w:t>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特克斯县喀拉达拉镇人民政府</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04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hint="eastAsia"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eastAsia="zh-CN"/>
        </w:rPr>
        <w:t>党政办公室。主要负责文秘、档案、保密、翻译、综合协调、后勤保障等工作；负责制定乡镇机关各项工作制度并监督落实；负责乡镇机关效能建设及绩效考核；负责机关、派驻机构、事业机构的综合协调工作；负责建立完善“街乡吹哨、部门报到”工作机制，制定实施“呼叫”事项办理信息反馈评价制度，完善和实施对县直部门和派驻机构履职的考核评价机制。</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eastAsia="zh-CN"/>
        </w:rPr>
        <w:t>党建办公室。主要负责纪检、党务、组织、宣传、机构编制、人事、老干部等工作的规划、管理、协调和监督工作；负责宣传党的各项方针、政策；负责党的基层组织建设和党员队伍建设工作；负责党风廉政建设工作；负责人大、团委、工会、妇联等日常事务；负责政协委员的联络工作；负责“访惠聚”驻村工作、升国旗、农牧民夜校、“民族团结一家亲”、村（社区）考核；负责辖区社团组织的培育、发展和管理；负责组织开展辖区居民的宣传、发动、服务工作；负责特殊群体的帮教帮扶、解决居民困难诉求等工作。</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eastAsia="zh-CN"/>
        </w:rPr>
        <w:t>经济发展办公室。主要负责农业、农技、农机、林业、畜牧、水利、财政、土地、统计、交通、村镇建设、扶贫开发、招商引资、项目管理、一、二、三产业的规划、管理、服务、协调和监督工作；拟定经济发展、产业结构规划、计划并组织实施；贯彻落实统筹城乡发展、加快推进城乡一体化工作总体部署和目标。</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eastAsia="zh-CN"/>
        </w:rPr>
        <w:t>社会事务办公室。主要负责政法、社会治安综合治理、民族宗教、信访、司法、统战、科技、教育、文化、卫生、体育、广播电视、旅游、计划生育、民政、劳动就业、社会保障、社会救助、退役军人、残疾人、红十字事业的规划、管理、协调和监督工作；负责拟定社会发展规划、计划并组织实施，协助做好镇人武部工作。</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综合执法办公室。主要负责综合行政执法工作的规划、管理、协调和监督工作；完善基层综合执法体制机制，落实行政执法公示制度、执法全过程记录制度、重大执法决定法制审核制度；拟定和实施综合行政执法队伍统一的运行管理制度，包括日常工作制度、包片负责制度、巡查上报制度、执法处置制度、执法协调制度、执法案件督办制度；负责行政执法监督、执法绩效考评；推进综合行政执法信息系统建设；负责联系协调县政府相关行政部门派驻乡镇执法人员以及乡镇执法人员在辖区内开展综合行政执法工作。</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综合行政执法队：开展市场监管、文化市场、农业、交通运输、环境保护、村容村貌、规划、建设，住房保障、安全生产、水利、食品药品等领域日常执法检查，一般违法案件查处，依法相对集中行使行政处罚权，以乡镇名义开展执法工作，并接受有关县级主管部门的业务指导和监督。</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农村合作经济（统计）发展中心：主要负责农村经济管理、财务管理等工作；负责农村集体经济，为农村集体经济健康发展提供保障和服务工作；负责镇政府财政预算决算的编制、办理各项收支结算和对帐、报帐工作；履行统计职责。</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农业（畜牧业）发展服务中心：主要负责农业、畜牧、兽医、草原、林业、农技、农机、水利、科技等方面的服务工作；协助镇政府制定农业、林业、畜牧业、科技等工作的长远发展规划和年度计划并组织实施。</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村镇规划建设发展中心：主要负责国土资源、规划建设、园林绿化、环境保护、交通等方面的服务工作；协助镇政府制定国土资源、园林绿化、环境保护的长远规划和年度计划并组织实施；协助镇政府贯彻落实统筹城乡发展、加快推进城乡一体化工作总体部署和目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综治中心（特克斯县喀拉达拉镇网格化服务中心）：负责社会治安综合治理、法治建设、平安创建、网格化管理、安全生产、应急管理、人民武装等方面的服务工作；负责群众信访、矛盾纠纷调解、安置帮教、社区矫正、普法、预防未成年人违法犯罪等工作；负责流动人口管理工作，管理指导基层网格员队伍等；协助镇政府制定社会治安综合治理、法治建设、平安创建、网格化管理、安全生产等工作的长远规划和年度计划并组织实施。</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人口和计划生育生殖健康服务站：负责宣传党和国家有关计划生育的方针、政策、法律，普及计划生育科学知识，负责开展计划生育技术、优生优育等方面和科技引进推广活动；负责做好地方卫生防疫、地方病防治和公共卫生监督等工作；负责承担妇幼保健技术指导、健康教育的宣传工作。</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社会保障（民政）服务中心：负责民政、教育、劳动就业、社会保障、社会救助、退役军、残疾人事业、红十字会等方面的服务工作；协助镇政府制定民政、教育、劳动就业、社会保障、社会救助、退役军等工作的长远发展规划和年度计划并组织实施。</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val="en-US" w:eastAsia="zh-CN"/>
        </w:rPr>
        <w:t>文体广电旅游服务中心：主要负责文化、宣传、体育、广播电视、旅游等方面的服务工作；协助镇政府制定文化、宣传等工作的长远发展规划和年度计划并组织实施。</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特克斯县喀拉达拉镇人民政府</w:t>
      </w:r>
      <w:r>
        <w:rPr>
          <w:rStyle w:val="16"/>
          <w:rFonts w:hint="eastAsia" w:ascii="仿宋_GB2312" w:hAnsi="楷体" w:eastAsia="仿宋_GB2312"/>
          <w:b w:val="0"/>
          <w:spacing w:val="-4"/>
          <w:sz w:val="28"/>
          <w:szCs w:val="28"/>
        </w:rPr>
        <w:t>的预算包括</w:t>
      </w:r>
      <w:r>
        <w:rPr>
          <w:rStyle w:val="16"/>
          <w:rFonts w:hint="eastAsia" w:ascii="仿宋_GB2312" w:hAnsi="楷体" w:eastAsia="仿宋_GB2312"/>
          <w:b w:val="0"/>
          <w:spacing w:val="-4"/>
          <w:sz w:val="28"/>
          <w:szCs w:val="28"/>
          <w:highlight w:val="none"/>
        </w:rPr>
        <w:t>：</w:t>
      </w:r>
      <w:r>
        <w:rPr>
          <w:rStyle w:val="16"/>
          <w:rFonts w:hint="eastAsia" w:ascii="仿宋_GB2312" w:hAnsi="楷体" w:eastAsia="仿宋_GB2312"/>
          <w:b w:val="0"/>
          <w:spacing w:val="-4"/>
          <w:sz w:val="28"/>
          <w:szCs w:val="28"/>
          <w:highlight w:val="none"/>
          <w:lang w:eastAsia="zh-CN"/>
        </w:rPr>
        <w:t>特克斯县喀拉达拉镇</w:t>
      </w:r>
      <w:r>
        <w:rPr>
          <w:rStyle w:val="16"/>
          <w:rFonts w:hint="eastAsia" w:ascii="仿宋_GB2312" w:hAnsi="楷体" w:eastAsia="仿宋_GB2312"/>
          <w:b w:val="0"/>
          <w:spacing w:val="-4"/>
          <w:sz w:val="28"/>
          <w:szCs w:val="28"/>
          <w:highlight w:val="none"/>
          <w:lang w:val="en-US" w:eastAsia="zh-CN"/>
        </w:rPr>
        <w:t>党委、</w:t>
      </w:r>
      <w:r>
        <w:rPr>
          <w:rStyle w:val="16"/>
          <w:rFonts w:hint="eastAsia" w:ascii="仿宋_GB2312" w:hAnsi="楷体" w:eastAsia="仿宋_GB2312"/>
          <w:b w:val="0"/>
          <w:spacing w:val="-4"/>
          <w:sz w:val="28"/>
          <w:szCs w:val="28"/>
          <w:highlight w:val="none"/>
          <w:lang w:eastAsia="zh-CN"/>
        </w:rPr>
        <w:t>人民政府</w:t>
      </w:r>
      <w:r>
        <w:rPr>
          <w:rStyle w:val="16"/>
          <w:rFonts w:hint="eastAsia" w:ascii="仿宋_GB2312" w:hAnsi="楷体" w:eastAsia="仿宋_GB2312"/>
          <w:b w:val="0"/>
          <w:spacing w:val="-4"/>
          <w:sz w:val="28"/>
          <w:szCs w:val="28"/>
          <w:highlight w:val="none"/>
        </w:rPr>
        <w:t>本级预算及下属</w:t>
      </w:r>
      <w:r>
        <w:rPr>
          <w:rStyle w:val="16"/>
          <w:rFonts w:hint="eastAsia" w:ascii="仿宋_GB2312" w:hAnsi="楷体" w:eastAsia="仿宋_GB2312"/>
          <w:b w:val="0"/>
          <w:spacing w:val="-4"/>
          <w:sz w:val="28"/>
          <w:szCs w:val="28"/>
          <w:highlight w:val="none"/>
          <w:lang w:val="en-US" w:eastAsia="zh-CN"/>
        </w:rPr>
        <w:t>8</w:t>
      </w:r>
      <w:r>
        <w:rPr>
          <w:rStyle w:val="16"/>
          <w:rFonts w:hint="eastAsia" w:ascii="仿宋_GB2312" w:hAnsi="楷体" w:eastAsia="仿宋_GB2312"/>
          <w:b w:val="0"/>
          <w:spacing w:val="-4"/>
          <w:sz w:val="28"/>
          <w:szCs w:val="28"/>
          <w:highlight w:val="none"/>
        </w:rPr>
        <w:t>家预算单位在内</w:t>
      </w:r>
      <w:r>
        <w:rPr>
          <w:rStyle w:val="16"/>
          <w:rFonts w:hint="eastAsia" w:ascii="仿宋_GB2312" w:hAnsi="楷体" w:eastAsia="仿宋_GB2312"/>
          <w:b w:val="0"/>
          <w:spacing w:val="-4"/>
          <w:sz w:val="28"/>
          <w:szCs w:val="28"/>
        </w:rPr>
        <w:t>的汇总预算。</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特克斯县喀拉达拉镇人民政府</w:t>
      </w:r>
      <w:r>
        <w:rPr>
          <w:rStyle w:val="16"/>
          <w:rFonts w:hint="eastAsia" w:ascii="仿宋_GB2312" w:hAnsi="楷体" w:eastAsia="仿宋_GB2312"/>
          <w:b w:val="0"/>
          <w:spacing w:val="-4"/>
          <w:sz w:val="28"/>
          <w:szCs w:val="28"/>
        </w:rPr>
        <w:t>本级下设</w:t>
      </w:r>
      <w:r>
        <w:rPr>
          <w:rStyle w:val="16"/>
          <w:rFonts w:hint="eastAsia" w:ascii="仿宋_GB2312" w:hAnsi="楷体" w:eastAsia="仿宋_GB2312"/>
          <w:b w:val="0"/>
          <w:spacing w:val="-4"/>
          <w:sz w:val="28"/>
          <w:szCs w:val="28"/>
          <w:lang w:val="en-US" w:eastAsia="zh-CN"/>
        </w:rPr>
        <w:t>12</w:t>
      </w:r>
      <w:r>
        <w:rPr>
          <w:rStyle w:val="16"/>
          <w:rFonts w:hint="eastAsia" w:ascii="仿宋_GB2312" w:hAnsi="楷体" w:eastAsia="仿宋_GB2312"/>
          <w:b w:val="0"/>
          <w:spacing w:val="-4"/>
          <w:sz w:val="28"/>
          <w:szCs w:val="28"/>
        </w:rPr>
        <w:t>个科室是：</w:t>
      </w:r>
      <w:r>
        <w:rPr>
          <w:rStyle w:val="16"/>
          <w:rFonts w:hint="eastAsia" w:ascii="仿宋_GB2312" w:hAnsi="楷体" w:eastAsia="仿宋_GB2312"/>
          <w:b w:val="0"/>
          <w:spacing w:val="-4"/>
          <w:sz w:val="28"/>
          <w:szCs w:val="28"/>
          <w:lang w:eastAsia="zh-CN"/>
        </w:rPr>
        <w:t>党政办公室、党建办公室、经济发展办公室、社会事务办公室、综合执法办公室、综合行政执法队、农村合作经济（统计）发展中心、农业（畜牧业）发展服务中心、村镇规划建设发展中心、综治中心人口和计划生育生殖健康服务站、社会保障（民政）服务中心、文体广电旅游服务中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本部门中，行政单位</w:t>
      </w:r>
      <w:r>
        <w:rPr>
          <w:rStyle w:val="16"/>
          <w:rFonts w:hint="eastAsia" w:ascii="仿宋_GB2312" w:hAnsi="楷体" w:eastAsia="仿宋_GB2312"/>
          <w:b w:val="0"/>
          <w:spacing w:val="-4"/>
          <w:sz w:val="28"/>
          <w:szCs w:val="28"/>
          <w:lang w:val="en-US" w:eastAsia="zh-CN"/>
        </w:rPr>
        <w:t>2</w:t>
      </w:r>
      <w:r>
        <w:rPr>
          <w:rStyle w:val="16"/>
          <w:rFonts w:hint="eastAsia" w:ascii="仿宋_GB2312" w:hAnsi="楷体" w:eastAsia="仿宋_GB2312"/>
          <w:b w:val="0"/>
          <w:spacing w:val="-4"/>
          <w:sz w:val="28"/>
          <w:szCs w:val="28"/>
        </w:rPr>
        <w:t>家，事业单位</w:t>
      </w:r>
      <w:r>
        <w:rPr>
          <w:rStyle w:val="16"/>
          <w:rFonts w:hint="eastAsia" w:ascii="仿宋_GB2312" w:hAnsi="楷体" w:eastAsia="仿宋_GB2312"/>
          <w:b w:val="0"/>
          <w:spacing w:val="-4"/>
          <w:sz w:val="28"/>
          <w:szCs w:val="28"/>
          <w:lang w:val="en-US" w:eastAsia="zh-CN"/>
        </w:rPr>
        <w:t>8</w:t>
      </w:r>
      <w:r>
        <w:rPr>
          <w:rStyle w:val="16"/>
          <w:rFonts w:hint="eastAsia" w:ascii="仿宋_GB2312" w:hAnsi="楷体" w:eastAsia="仿宋_GB2312"/>
          <w:b w:val="0"/>
          <w:spacing w:val="-4"/>
          <w:sz w:val="28"/>
          <w:szCs w:val="28"/>
        </w:rPr>
        <w:t>家，纳入</w:t>
      </w:r>
      <w:r>
        <w:rPr>
          <w:rStyle w:val="16"/>
          <w:rFonts w:hint="eastAsia" w:ascii="仿宋_GB2312" w:hAnsi="楷体" w:eastAsia="仿宋_GB2312"/>
          <w:b w:val="0"/>
          <w:spacing w:val="-4"/>
          <w:sz w:val="28"/>
          <w:szCs w:val="28"/>
          <w:lang w:eastAsia="zh-CN"/>
        </w:rPr>
        <w:t>特克斯县喀拉达拉镇人民政府</w:t>
      </w:r>
      <w:r>
        <w:rPr>
          <w:rStyle w:val="16"/>
          <w:rFonts w:hint="eastAsia" w:ascii="仿宋_GB2312" w:hAnsi="楷体" w:eastAsia="仿宋_GB2312"/>
          <w:b w:val="0"/>
          <w:spacing w:val="-4"/>
          <w:sz w:val="28"/>
          <w:szCs w:val="28"/>
          <w:lang w:val="en-US" w:eastAsia="zh-CN"/>
        </w:rPr>
        <w:t>2021</w:t>
      </w:r>
      <w:r>
        <w:rPr>
          <w:rStyle w:val="16"/>
          <w:rFonts w:hint="eastAsia" w:ascii="仿宋_GB2312" w:hAnsi="楷体" w:eastAsia="仿宋_GB2312"/>
          <w:b w:val="0"/>
          <w:spacing w:val="-4"/>
          <w:sz w:val="28"/>
          <w:szCs w:val="28"/>
        </w:rPr>
        <w:t>年部预算编制范围的二级预算单位包括：</w:t>
      </w:r>
    </w:p>
    <w:p>
      <w:pPr>
        <w:numPr>
          <w:ilvl w:val="0"/>
          <w:numId w:val="0"/>
        </w:num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lang w:eastAsia="zh-CN"/>
        </w:rPr>
        <w:t>特克斯县喀拉达拉镇农村合作经济（统计）发展中心（特克斯县喀拉达拉镇财政所）</w:t>
      </w:r>
    </w:p>
    <w:p>
      <w:pPr>
        <w:numPr>
          <w:ilvl w:val="0"/>
          <w:numId w:val="0"/>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2.</w:t>
      </w:r>
      <w:r>
        <w:rPr>
          <w:rStyle w:val="16"/>
          <w:rFonts w:hint="eastAsia" w:ascii="仿宋_GB2312" w:hAnsi="楷体" w:eastAsia="仿宋_GB2312"/>
          <w:b w:val="0"/>
          <w:spacing w:val="-4"/>
          <w:sz w:val="28"/>
          <w:szCs w:val="28"/>
        </w:rPr>
        <w:t>特克斯县喀拉达拉镇人口和计划生育生殖健康服务站</w:t>
      </w:r>
    </w:p>
    <w:p>
      <w:pPr>
        <w:numPr>
          <w:ilvl w:val="0"/>
          <w:numId w:val="0"/>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特克斯县喀拉达拉镇文体广电旅游服务中心</w:t>
      </w:r>
    </w:p>
    <w:p>
      <w:pPr>
        <w:numPr>
          <w:ilvl w:val="0"/>
          <w:numId w:val="0"/>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特克斯县喀拉达拉镇社会保障（民政）服务中心（特克斯县喀拉达拉镇退役军人服务站）</w:t>
      </w:r>
    </w:p>
    <w:p>
      <w:pPr>
        <w:numPr>
          <w:ilvl w:val="0"/>
          <w:numId w:val="0"/>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5.</w:t>
      </w:r>
      <w:r>
        <w:rPr>
          <w:rStyle w:val="16"/>
          <w:rFonts w:hint="eastAsia" w:ascii="仿宋_GB2312" w:hAnsi="楷体" w:eastAsia="仿宋_GB2312"/>
          <w:b w:val="0"/>
          <w:spacing w:val="-4"/>
          <w:sz w:val="28"/>
          <w:szCs w:val="28"/>
        </w:rPr>
        <w:t>特克斯县喀拉达拉镇农业（畜牧业）发展服务中心</w:t>
      </w:r>
    </w:p>
    <w:p>
      <w:pPr>
        <w:numPr>
          <w:ilvl w:val="0"/>
          <w:numId w:val="0"/>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6.</w:t>
      </w:r>
      <w:r>
        <w:rPr>
          <w:rStyle w:val="16"/>
          <w:rFonts w:hint="eastAsia" w:ascii="仿宋_GB2312" w:hAnsi="楷体" w:eastAsia="仿宋_GB2312"/>
          <w:b w:val="0"/>
          <w:spacing w:val="-4"/>
          <w:sz w:val="28"/>
          <w:szCs w:val="28"/>
        </w:rPr>
        <w:t>特克斯县喀拉达拉镇村镇规划建设发展中心（特克斯县喀拉达拉镇生态环境工作站）</w:t>
      </w:r>
    </w:p>
    <w:p>
      <w:pPr>
        <w:numPr>
          <w:ilvl w:val="0"/>
          <w:numId w:val="0"/>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7.</w:t>
      </w:r>
      <w:r>
        <w:rPr>
          <w:rStyle w:val="16"/>
          <w:rFonts w:hint="eastAsia" w:ascii="仿宋_GB2312" w:hAnsi="楷体" w:eastAsia="仿宋_GB2312"/>
          <w:b w:val="0"/>
          <w:spacing w:val="-4"/>
          <w:sz w:val="28"/>
          <w:szCs w:val="28"/>
        </w:rPr>
        <w:t>特克斯县喀拉达拉镇综治中心（特克斯县喀拉达拉镇网格化服务中心）</w:t>
      </w:r>
    </w:p>
    <w:p>
      <w:pPr>
        <w:numPr>
          <w:ilvl w:val="0"/>
          <w:numId w:val="0"/>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8.</w:t>
      </w:r>
      <w:r>
        <w:rPr>
          <w:rStyle w:val="16"/>
          <w:rFonts w:hint="eastAsia" w:ascii="仿宋_GB2312" w:hAnsi="楷体" w:eastAsia="仿宋_GB2312"/>
          <w:b w:val="0"/>
          <w:spacing w:val="-4"/>
          <w:sz w:val="28"/>
          <w:szCs w:val="28"/>
        </w:rPr>
        <w:t>特克斯县喀拉达拉镇综合行政执法队</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w:t>
      </w:r>
      <w:r>
        <w:rPr>
          <w:rStyle w:val="16"/>
          <w:rFonts w:hint="eastAsia" w:ascii="仿宋_GB2312" w:hAnsi="楷体" w:eastAsia="仿宋_GB2312"/>
          <w:b w:val="0"/>
          <w:spacing w:val="-4"/>
          <w:sz w:val="28"/>
          <w:szCs w:val="28"/>
          <w:lang w:eastAsia="zh-CN"/>
        </w:rPr>
        <w:t>特克斯县喀拉达拉镇人民政</w:t>
      </w:r>
      <w:r>
        <w:rPr>
          <w:rStyle w:val="16"/>
          <w:rFonts w:hint="eastAsia" w:ascii="仿宋_GB2312" w:hAnsi="楷体" w:eastAsia="仿宋_GB2312"/>
          <w:b w:val="0"/>
          <w:spacing w:val="-4"/>
          <w:sz w:val="28"/>
          <w:szCs w:val="28"/>
          <w:highlight w:val="none"/>
          <w:lang w:eastAsia="zh-CN"/>
        </w:rPr>
        <w:t>府</w:t>
      </w:r>
      <w:r>
        <w:rPr>
          <w:rStyle w:val="16"/>
          <w:rFonts w:hint="eastAsia" w:ascii="仿宋_GB2312" w:hAnsi="楷体" w:eastAsia="仿宋_GB2312"/>
          <w:b w:val="0"/>
          <w:spacing w:val="-4"/>
          <w:sz w:val="28"/>
          <w:szCs w:val="28"/>
          <w:highlight w:val="none"/>
        </w:rPr>
        <w:t>实有在职人员为</w:t>
      </w:r>
      <w:r>
        <w:rPr>
          <w:rStyle w:val="16"/>
          <w:rFonts w:hint="eastAsia" w:ascii="仿宋_GB2312" w:hAnsi="楷体" w:eastAsia="仿宋_GB2312"/>
          <w:b w:val="0"/>
          <w:spacing w:val="-4"/>
          <w:sz w:val="28"/>
          <w:szCs w:val="28"/>
          <w:highlight w:val="none"/>
          <w:lang w:val="en-US" w:eastAsia="zh-CN"/>
        </w:rPr>
        <w:t>160</w:t>
      </w:r>
      <w:r>
        <w:rPr>
          <w:rStyle w:val="16"/>
          <w:rFonts w:hint="eastAsia" w:ascii="仿宋_GB2312" w:hAnsi="楷体" w:eastAsia="仿宋_GB2312"/>
          <w:b w:val="0"/>
          <w:spacing w:val="-4"/>
          <w:sz w:val="28"/>
          <w:szCs w:val="28"/>
          <w:highlight w:val="none"/>
        </w:rPr>
        <w:t>人，</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w:t>
      </w:r>
      <w:r>
        <w:rPr>
          <w:rStyle w:val="16"/>
          <w:rFonts w:hint="eastAsia" w:ascii="仿宋_GB2312" w:hAnsi="楷体" w:eastAsia="仿宋_GB2312"/>
          <w:b w:val="0"/>
          <w:spacing w:val="-4"/>
          <w:sz w:val="28"/>
          <w:szCs w:val="28"/>
          <w:lang w:val="en-US" w:eastAsia="zh-CN"/>
        </w:rPr>
        <w:t>31</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28</w:t>
      </w:r>
      <w:r>
        <w:rPr>
          <w:rStyle w:val="16"/>
          <w:rFonts w:hint="eastAsia" w:ascii="仿宋_GB2312" w:hAnsi="楷体" w:eastAsia="仿宋_GB2312"/>
          <w:b w:val="0"/>
          <w:spacing w:val="-4"/>
          <w:sz w:val="28"/>
          <w:szCs w:val="28"/>
        </w:rPr>
        <w:t>人），同比上年增加</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人；</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事业在职129人（上年123人），同比上年增加6人；</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0人）, 与上年一致；</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实有退休人员</w:t>
      </w:r>
      <w:r>
        <w:rPr>
          <w:rStyle w:val="16"/>
          <w:rFonts w:hint="eastAsia" w:ascii="仿宋_GB2312" w:hAnsi="楷体" w:eastAsia="仿宋_GB2312"/>
          <w:b w:val="0"/>
          <w:spacing w:val="-4"/>
          <w:sz w:val="28"/>
          <w:szCs w:val="28"/>
          <w:lang w:val="en-US" w:eastAsia="zh-CN"/>
        </w:rPr>
        <w:t>50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53</w:t>
      </w:r>
      <w:r>
        <w:rPr>
          <w:rStyle w:val="16"/>
          <w:rFonts w:hint="eastAsia" w:ascii="仿宋_GB2312" w:hAnsi="楷体" w:eastAsia="仿宋_GB2312"/>
          <w:b w:val="0"/>
          <w:spacing w:val="-4"/>
          <w:sz w:val="28"/>
          <w:szCs w:val="28"/>
        </w:rPr>
        <w:t>人）,</w:t>
      </w:r>
      <w:r>
        <w:rPr>
          <w:rFonts w:hint="eastAsia" w:ascii="仿宋_GB2312" w:hAnsi="楷体" w:eastAsia="仿宋_GB2312"/>
          <w:b/>
          <w:spacing w:val="-4"/>
          <w:sz w:val="28"/>
          <w:szCs w:val="28"/>
        </w:rPr>
        <w:t xml:space="preserve"> </w:t>
      </w:r>
      <w:r>
        <w:rPr>
          <w:rStyle w:val="16"/>
          <w:rFonts w:hint="eastAsia" w:ascii="仿宋_GB2312" w:hAnsi="楷体" w:eastAsia="仿宋_GB2312"/>
          <w:b w:val="0"/>
          <w:spacing w:val="-4"/>
          <w:sz w:val="28"/>
          <w:szCs w:val="28"/>
          <w:lang w:val="en-US" w:eastAsia="zh-CN"/>
        </w:rPr>
        <w:t>同比上年减少3人</w:t>
      </w:r>
      <w:r>
        <w:rPr>
          <w:rStyle w:val="16"/>
          <w:rFonts w:hint="eastAsia" w:ascii="仿宋_GB2312" w:hAnsi="楷体" w:eastAsia="仿宋_GB2312"/>
          <w:b w:val="0"/>
          <w:spacing w:val="-4"/>
          <w:sz w:val="28"/>
          <w:szCs w:val="28"/>
          <w:lang w:eastAsia="zh-CN"/>
        </w:rPr>
        <w:t>。</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1.认真贯彻落实党的十九届三中、四中、五中全会精神，深入践行党的群众路线，加快生态文明建设步伐，抓好招商引资，人才引进项目开发，不断培育市场体系，组织经济运行，促进经济发展。</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p>
    <w:p>
      <w:pPr>
        <w:spacing w:line="360" w:lineRule="auto"/>
        <w:ind w:firstLine="544" w:firstLineChars="200"/>
        <w:rPr>
          <w:b/>
          <w:bCs/>
        </w:rPr>
      </w:pPr>
      <w:r>
        <w:rPr>
          <w:rStyle w:val="16"/>
          <w:rFonts w:ascii="仿宋_GB2312" w:hAnsi="楷体" w:eastAsia="仿宋_GB2312"/>
          <w:b w:val="0"/>
          <w:spacing w:val="-4"/>
          <w:sz w:val="28"/>
          <w:szCs w:val="28"/>
        </w:rPr>
        <w:t>3.保证单位财政供养人员基本工资、津贴补贴、艰边补助预算的收支，保证单位工作正常开展和各项任务顺利完成。</w:t>
      </w:r>
    </w:p>
    <w:p>
      <w:pPr>
        <w:pStyle w:val="4"/>
        <w:spacing w:line="360" w:lineRule="auto"/>
        <w:ind w:firstLine="281" w:firstLineChars="100"/>
        <w:rPr>
          <w:rStyle w:val="16"/>
          <w:rFonts w:ascii="仿宋" w:hAnsi="仿宋" w:eastAsia="仿宋"/>
          <w:b/>
          <w:bCs/>
          <w:sz w:val="28"/>
          <w:szCs w:val="28"/>
        </w:rPr>
      </w:pPr>
      <w:bookmarkStart w:id="6" w:name="_Toc70450294"/>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highlight w:val="yellow"/>
        </w:rPr>
      </w:pPr>
      <w:r>
        <w:rPr>
          <w:rStyle w:val="16"/>
          <w:rFonts w:hint="eastAsia" w:ascii="仿宋_GB2312" w:hAnsi="楷体" w:eastAsia="仿宋_GB2312"/>
          <w:b w:val="0"/>
          <w:spacing w:val="-4"/>
          <w:sz w:val="28"/>
          <w:szCs w:val="28"/>
        </w:rPr>
        <w:t>2021年批复我单位预算为</w:t>
      </w:r>
      <w:r>
        <w:rPr>
          <w:rStyle w:val="16"/>
          <w:rFonts w:hint="eastAsia" w:ascii="仿宋_GB2312" w:hAnsi="楷体" w:eastAsia="仿宋_GB2312"/>
          <w:b w:val="0"/>
          <w:spacing w:val="-4"/>
          <w:sz w:val="28"/>
          <w:szCs w:val="28"/>
          <w:lang w:val="en-US" w:eastAsia="zh-CN"/>
        </w:rPr>
        <w:t>4607.57</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4526.57</w:t>
      </w:r>
      <w:r>
        <w:rPr>
          <w:rStyle w:val="16"/>
          <w:rFonts w:hint="eastAsia" w:ascii="仿宋_GB2312" w:hAnsi="楷体" w:eastAsia="仿宋_GB2312"/>
          <w:b w:val="0"/>
          <w:spacing w:val="-4"/>
          <w:sz w:val="28"/>
          <w:szCs w:val="28"/>
        </w:rPr>
        <w:t>万元，其他资金收入</w:t>
      </w:r>
      <w:r>
        <w:rPr>
          <w:rStyle w:val="16"/>
          <w:rFonts w:hint="eastAsia" w:ascii="仿宋_GB2312" w:hAnsi="楷体" w:eastAsia="仿宋_GB2312"/>
          <w:b w:val="0"/>
          <w:spacing w:val="-4"/>
          <w:sz w:val="28"/>
          <w:szCs w:val="28"/>
          <w:lang w:val="en-US" w:eastAsia="zh-CN"/>
        </w:rPr>
        <w:t>81</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年中追加资金</w:t>
      </w:r>
      <w:r>
        <w:rPr>
          <w:rStyle w:val="16"/>
          <w:rFonts w:hint="eastAsia" w:ascii="仿宋_GB2312" w:hAnsi="楷体" w:eastAsia="仿宋_GB2312"/>
          <w:b w:val="0"/>
          <w:spacing w:val="-4"/>
          <w:sz w:val="28"/>
          <w:szCs w:val="28"/>
          <w:lang w:val="en-US" w:eastAsia="zh-CN"/>
        </w:rPr>
        <w:t>2899.60</w:t>
      </w:r>
      <w:r>
        <w:rPr>
          <w:rStyle w:val="16"/>
          <w:rFonts w:hint="eastAsia" w:ascii="仿宋_GB2312" w:hAnsi="楷体" w:eastAsia="仿宋_GB2312"/>
          <w:b w:val="0"/>
          <w:spacing w:val="-4"/>
          <w:sz w:val="28"/>
          <w:szCs w:val="28"/>
        </w:rPr>
        <w:t>万元，调整率</w:t>
      </w:r>
      <w:r>
        <w:rPr>
          <w:rStyle w:val="16"/>
          <w:rFonts w:hint="eastAsia" w:ascii="仿宋_GB2312" w:hAnsi="楷体" w:eastAsia="仿宋_GB2312"/>
          <w:b w:val="0"/>
          <w:spacing w:val="-4"/>
          <w:sz w:val="28"/>
          <w:szCs w:val="28"/>
          <w:lang w:val="en-US" w:eastAsia="zh-CN"/>
        </w:rPr>
        <w:t>169.77</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highlight w:val="none"/>
        </w:rPr>
        <w:t>对比上年</w:t>
      </w:r>
      <w:r>
        <w:rPr>
          <w:rStyle w:val="16"/>
          <w:rFonts w:hint="eastAsia" w:ascii="仿宋_GB2312" w:hAnsi="楷体" w:eastAsia="仿宋_GB2312"/>
          <w:b w:val="0"/>
          <w:spacing w:val="-4"/>
          <w:sz w:val="28"/>
          <w:szCs w:val="28"/>
          <w:highlight w:val="none"/>
          <w:lang w:val="en-US" w:eastAsia="zh-CN"/>
        </w:rPr>
        <w:t>5974.50</w:t>
      </w:r>
      <w:r>
        <w:rPr>
          <w:rStyle w:val="16"/>
          <w:rFonts w:hint="eastAsia" w:ascii="仿宋_GB2312" w:hAnsi="楷体" w:eastAsia="仿宋_GB2312"/>
          <w:b w:val="0"/>
          <w:spacing w:val="-4"/>
          <w:sz w:val="28"/>
          <w:szCs w:val="28"/>
          <w:highlight w:val="none"/>
        </w:rPr>
        <w:t>万元减少</w:t>
      </w:r>
      <w:r>
        <w:rPr>
          <w:rStyle w:val="16"/>
          <w:rFonts w:hint="eastAsia" w:ascii="仿宋_GB2312" w:hAnsi="楷体" w:eastAsia="仿宋_GB2312"/>
          <w:b w:val="0"/>
          <w:spacing w:val="-4"/>
          <w:sz w:val="28"/>
          <w:szCs w:val="28"/>
          <w:highlight w:val="none"/>
          <w:lang w:val="en-US" w:eastAsia="zh-CN"/>
        </w:rPr>
        <w:t>1366.93</w:t>
      </w:r>
      <w:r>
        <w:rPr>
          <w:rStyle w:val="16"/>
          <w:rFonts w:hint="eastAsia" w:ascii="仿宋_GB2312" w:hAnsi="楷体" w:eastAsia="仿宋_GB2312"/>
          <w:b w:val="0"/>
          <w:spacing w:val="-4"/>
          <w:sz w:val="28"/>
          <w:szCs w:val="28"/>
          <w:highlight w:val="none"/>
        </w:rPr>
        <w:t>万元，下降</w:t>
      </w:r>
      <w:r>
        <w:rPr>
          <w:rStyle w:val="16"/>
          <w:rFonts w:hint="eastAsia" w:ascii="仿宋_GB2312" w:hAnsi="楷体" w:eastAsia="仿宋_GB2312"/>
          <w:b w:val="0"/>
          <w:spacing w:val="-4"/>
          <w:sz w:val="28"/>
          <w:szCs w:val="28"/>
          <w:highlight w:val="none"/>
          <w:lang w:val="en-US" w:eastAsia="zh-CN"/>
        </w:rPr>
        <w:t>22.88</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4607.57</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w:t>
      </w:r>
      <w:r>
        <w:rPr>
          <w:rStyle w:val="16"/>
          <w:rFonts w:hint="eastAsia" w:ascii="仿宋_GB2312" w:hAnsi="楷体" w:eastAsia="仿宋_GB2312"/>
          <w:b w:val="0"/>
          <w:spacing w:val="-4"/>
          <w:sz w:val="28"/>
          <w:szCs w:val="28"/>
          <w:lang w:val="en-US" w:eastAsia="zh-CN"/>
        </w:rPr>
        <w:t>3623.85</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78.65</w:t>
      </w:r>
      <w:r>
        <w:rPr>
          <w:rStyle w:val="16"/>
          <w:rFonts w:hint="eastAsia" w:ascii="仿宋_GB2312" w:hAnsi="楷体" w:eastAsia="仿宋_GB2312"/>
          <w:b w:val="0"/>
          <w:spacing w:val="-4"/>
          <w:sz w:val="28"/>
          <w:szCs w:val="28"/>
        </w:rPr>
        <w:t>％，主要用于本单位机构正常运转、完成日常工作任务而发生的各项支出。其中：工资福利支出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2430.03</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577.30</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616.52</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访惠聚人员补助、境外人员补助、退休人员取暖费等</w:t>
      </w:r>
      <w:r>
        <w:rPr>
          <w:rStyle w:val="16"/>
          <w:rFonts w:hint="eastAsia" w:ascii="仿宋_GB2312" w:hAnsi="楷体" w:eastAsia="仿宋_GB2312"/>
          <w:b w:val="0"/>
          <w:spacing w:val="-4"/>
          <w:sz w:val="28"/>
          <w:szCs w:val="28"/>
        </w:rPr>
        <w:t xml:space="preserve">。 </w:t>
      </w:r>
      <w:r>
        <w:rPr>
          <w:rStyle w:val="16"/>
          <w:rFonts w:ascii="仿宋_GB2312" w:hAnsi="楷体" w:eastAsia="仿宋_GB2312"/>
          <w:b w:val="0"/>
          <w:spacing w:val="-4"/>
          <w:sz w:val="28"/>
          <w:szCs w:val="28"/>
        </w:rPr>
        <w:t xml:space="preserve"> </w:t>
      </w:r>
    </w:p>
    <w:p>
      <w:pPr>
        <w:spacing w:line="360" w:lineRule="auto"/>
        <w:ind w:firstLine="544" w:firstLineChars="200"/>
        <w:rPr>
          <w:rStyle w:val="16"/>
          <w:rFonts w:ascii="仿宋_GB2312" w:hAnsi="楷体" w:eastAsia="仿宋_GB2312"/>
          <w:b w:val="0"/>
          <w:spacing w:val="-4"/>
          <w:sz w:val="28"/>
          <w:szCs w:val="28"/>
          <w:lang w:val="en-US"/>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983.72</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21.35%</w:t>
      </w:r>
      <w:r>
        <w:rPr>
          <w:rStyle w:val="16"/>
          <w:rFonts w:hint="eastAsia" w:ascii="仿宋_GB2312" w:hAnsi="楷体" w:eastAsia="仿宋_GB2312"/>
          <w:b w:val="0"/>
          <w:spacing w:val="-4"/>
          <w:sz w:val="28"/>
          <w:szCs w:val="28"/>
        </w:rPr>
        <w:t>。其中：</w:t>
      </w:r>
      <w:r>
        <w:rPr>
          <w:rStyle w:val="16"/>
          <w:rFonts w:hint="eastAsia" w:ascii="仿宋_GB2312" w:hAnsi="楷体" w:eastAsia="仿宋_GB2312"/>
          <w:b w:val="0"/>
          <w:spacing w:val="-4"/>
          <w:sz w:val="28"/>
          <w:szCs w:val="28"/>
          <w:lang w:eastAsia="zh-CN"/>
        </w:rPr>
        <w:t>安全饮水</w:t>
      </w:r>
      <w:r>
        <w:rPr>
          <w:rStyle w:val="16"/>
          <w:rFonts w:hint="eastAsia" w:ascii="仿宋_GB2312" w:hAnsi="楷体" w:eastAsia="仿宋_GB2312"/>
          <w:b w:val="0"/>
          <w:spacing w:val="-4"/>
          <w:sz w:val="28"/>
          <w:szCs w:val="28"/>
        </w:rPr>
        <w:t>项目安排</w:t>
      </w:r>
      <w:r>
        <w:rPr>
          <w:rStyle w:val="16"/>
          <w:rFonts w:hint="eastAsia" w:ascii="仿宋_GB2312" w:hAnsi="楷体" w:eastAsia="仿宋_GB2312"/>
          <w:b w:val="0"/>
          <w:spacing w:val="-4"/>
          <w:sz w:val="28"/>
          <w:szCs w:val="28"/>
          <w:lang w:val="en-US" w:eastAsia="zh-CN"/>
        </w:rPr>
        <w:t>8.72</w:t>
      </w:r>
      <w:r>
        <w:rPr>
          <w:rStyle w:val="16"/>
          <w:rFonts w:hint="eastAsia" w:ascii="仿宋_GB2312" w:hAnsi="楷体" w:eastAsia="仿宋_GB2312"/>
          <w:b w:val="0"/>
          <w:spacing w:val="-4"/>
          <w:sz w:val="28"/>
          <w:szCs w:val="28"/>
        </w:rPr>
        <w:t>万元，主要用于完成</w:t>
      </w:r>
      <w:r>
        <w:rPr>
          <w:rStyle w:val="16"/>
          <w:rFonts w:hint="eastAsia" w:ascii="仿宋_GB2312" w:hAnsi="楷体" w:eastAsia="仿宋_GB2312"/>
          <w:b w:val="0"/>
          <w:spacing w:val="-4"/>
          <w:sz w:val="28"/>
          <w:szCs w:val="28"/>
          <w:lang w:eastAsia="zh-CN"/>
        </w:rPr>
        <w:t>村庄自来水建设；创业园区建设项目安排</w:t>
      </w:r>
      <w:r>
        <w:rPr>
          <w:rStyle w:val="16"/>
          <w:rFonts w:hint="eastAsia" w:ascii="仿宋_GB2312" w:hAnsi="楷体" w:eastAsia="仿宋_GB2312"/>
          <w:b w:val="0"/>
          <w:spacing w:val="-4"/>
          <w:sz w:val="28"/>
          <w:szCs w:val="28"/>
          <w:lang w:val="en-US" w:eastAsia="zh-CN"/>
        </w:rPr>
        <w:t>4.92万元，主要用于创业园建设</w:t>
      </w:r>
      <w:r>
        <w:rPr>
          <w:rStyle w:val="16"/>
          <w:rFonts w:hint="eastAsia" w:ascii="仿宋_GB2312" w:hAnsi="楷体" w:eastAsia="仿宋_GB2312"/>
          <w:b w:val="0"/>
          <w:spacing w:val="-4"/>
          <w:sz w:val="28"/>
          <w:szCs w:val="28"/>
          <w:lang w:eastAsia="zh-CN"/>
        </w:rPr>
        <w:t>；农牧民健身工程项目投入</w:t>
      </w:r>
      <w:r>
        <w:rPr>
          <w:rStyle w:val="16"/>
          <w:rFonts w:hint="eastAsia" w:ascii="仿宋_GB2312" w:hAnsi="楷体" w:eastAsia="仿宋_GB2312"/>
          <w:b w:val="0"/>
          <w:spacing w:val="-4"/>
          <w:sz w:val="28"/>
          <w:szCs w:val="28"/>
          <w:lang w:val="en-US" w:eastAsia="zh-CN"/>
        </w:rPr>
        <w:t>10.40万元，主要用于建设健身器材购置；</w:t>
      </w:r>
      <w:r>
        <w:rPr>
          <w:rStyle w:val="16"/>
          <w:rFonts w:hint="eastAsia" w:ascii="仿宋_GB2312" w:hAnsi="楷体" w:eastAsia="仿宋_GB2312"/>
          <w:b w:val="0"/>
          <w:spacing w:val="-4"/>
          <w:sz w:val="28"/>
          <w:szCs w:val="28"/>
          <w:lang w:eastAsia="zh-CN"/>
        </w:rPr>
        <w:t>扶贫项目安排</w:t>
      </w:r>
      <w:r>
        <w:rPr>
          <w:rStyle w:val="16"/>
          <w:rFonts w:hint="eastAsia" w:ascii="仿宋_GB2312" w:hAnsi="楷体" w:eastAsia="仿宋_GB2312"/>
          <w:b w:val="0"/>
          <w:spacing w:val="-4"/>
          <w:sz w:val="28"/>
          <w:szCs w:val="28"/>
          <w:lang w:val="en-US" w:eastAsia="zh-CN"/>
        </w:rPr>
        <w:t>99.86万元，主要用于完成馕产业园建设，带动群众就业；以公代赈项目安排859.82万元，主要用于完成牧民定居点定居基础设施建设与改善环境。</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3</w:t>
      </w:r>
      <w:r>
        <w:rPr>
          <w:rStyle w:val="16"/>
          <w:rFonts w:hint="eastAsia" w:ascii="仿宋_GB2312" w:hAnsi="楷体" w:eastAsia="仿宋_GB2312"/>
          <w:b w:val="0"/>
          <w:spacing w:val="-4"/>
          <w:sz w:val="28"/>
          <w:szCs w:val="28"/>
          <w:highlight w:val="none"/>
        </w:rPr>
        <w:t>）本年度重点项目支出</w:t>
      </w:r>
      <w:r>
        <w:rPr>
          <w:rStyle w:val="16"/>
          <w:rFonts w:hint="eastAsia" w:ascii="仿宋_GB2312" w:hAnsi="楷体" w:eastAsia="仿宋_GB2312"/>
          <w:b w:val="0"/>
          <w:spacing w:val="-4"/>
          <w:sz w:val="28"/>
          <w:szCs w:val="28"/>
          <w:highlight w:val="none"/>
          <w:lang w:val="en-US" w:eastAsia="zh-CN"/>
        </w:rPr>
        <w:t>859.82</w:t>
      </w:r>
      <w:r>
        <w:rPr>
          <w:rStyle w:val="16"/>
          <w:rFonts w:hint="eastAsia" w:ascii="仿宋_GB2312" w:hAnsi="楷体" w:eastAsia="仿宋_GB2312"/>
          <w:b w:val="0"/>
          <w:spacing w:val="-4"/>
          <w:sz w:val="28"/>
          <w:szCs w:val="28"/>
          <w:highlight w:val="none"/>
        </w:rPr>
        <w:t>万元，重点支出保障率</w:t>
      </w:r>
      <w:r>
        <w:rPr>
          <w:rStyle w:val="16"/>
          <w:rFonts w:hint="eastAsia" w:ascii="仿宋_GB2312" w:hAnsi="楷体" w:eastAsia="仿宋_GB2312"/>
          <w:b w:val="0"/>
          <w:spacing w:val="-4"/>
          <w:sz w:val="28"/>
          <w:szCs w:val="28"/>
          <w:highlight w:val="none"/>
          <w:lang w:val="en-US" w:eastAsia="zh-CN"/>
        </w:rPr>
        <w:t>87.40</w:t>
      </w:r>
      <w:r>
        <w:rPr>
          <w:rStyle w:val="16"/>
          <w:rFonts w:hint="eastAsia" w:ascii="仿宋_GB2312" w:hAnsi="楷体" w:eastAsia="仿宋_GB2312"/>
          <w:b w:val="0"/>
          <w:spacing w:val="-4"/>
          <w:sz w:val="28"/>
          <w:szCs w:val="28"/>
          <w:highlight w:val="none"/>
        </w:rPr>
        <w:t>%。其中重点保障项目是</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以公代赈项目，主要用于完成牧民定居点定居基础设施建设与改善环境。</w:t>
      </w:r>
    </w:p>
    <w:p>
      <w:pPr>
        <w:spacing w:line="360" w:lineRule="auto"/>
        <w:ind w:firstLine="544" w:firstLineChars="200"/>
        <w:rPr>
          <w:rStyle w:val="16"/>
          <w:rFonts w:hint="eastAsia" w:ascii="仿宋_GB2312" w:hAnsi="楷体" w:eastAsia="仿宋_GB2312"/>
          <w:b w:val="0"/>
          <w:spacing w:val="-4"/>
          <w:sz w:val="32"/>
          <w:szCs w:val="32"/>
          <w:lang w:eastAsia="zh-CN"/>
        </w:rPr>
      </w:pPr>
      <w:r>
        <w:rPr>
          <w:rStyle w:val="16"/>
          <w:rFonts w:hint="eastAsia" w:ascii="仿宋_GB2312" w:hAnsi="楷体" w:eastAsia="仿宋_GB2312"/>
          <w:b w:val="0"/>
          <w:spacing w:val="-4"/>
          <w:sz w:val="28"/>
          <w:szCs w:val="28"/>
        </w:rPr>
        <w:t>（4）本年度我单位无政府采购预算</w:t>
      </w:r>
      <w:r>
        <w:rPr>
          <w:rStyle w:val="16"/>
          <w:rFonts w:hint="eastAsia" w:ascii="仿宋_GB2312" w:hAnsi="楷体" w:eastAsia="仿宋_GB2312"/>
          <w:b w:val="0"/>
          <w:spacing w:val="-4"/>
          <w:sz w:val="28"/>
          <w:szCs w:val="28"/>
          <w:lang w:eastAsia="zh-CN"/>
        </w:rPr>
        <w:t>。</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hint="eastAsia" w:ascii="仿宋_GB2312" w:eastAsia="仿宋_GB2312"/>
          <w:b w:val="0"/>
          <w:bCs w:val="0"/>
          <w:sz w:val="28"/>
          <w:szCs w:val="36"/>
        </w:rPr>
      </w:pPr>
      <w:r>
        <w:rPr>
          <w:rStyle w:val="16"/>
          <w:rFonts w:hint="eastAsia" w:ascii="仿宋_GB2312" w:eastAsia="仿宋_GB2312"/>
          <w:b w:val="0"/>
          <w:bCs w:val="0"/>
          <w:sz w:val="28"/>
          <w:szCs w:val="36"/>
        </w:rPr>
        <w:t>（1）整体支出评价使用方法</w:t>
      </w:r>
    </w:p>
    <w:p>
      <w:pPr>
        <w:spacing w:line="360" w:lineRule="auto"/>
        <w:ind w:firstLine="560" w:firstLineChars="200"/>
        <w:rPr>
          <w:rStyle w:val="16"/>
          <w:rFonts w:hint="eastAsia" w:ascii="仿宋_GB2312" w:eastAsia="仿宋_GB2312"/>
          <w:b w:val="0"/>
          <w:bCs w:val="0"/>
          <w:sz w:val="28"/>
          <w:szCs w:val="36"/>
          <w:highlight w:val="none"/>
          <w:lang w:eastAsia="zh-CN"/>
        </w:rPr>
      </w:pPr>
      <w:r>
        <w:rPr>
          <w:rStyle w:val="16"/>
          <w:rFonts w:hint="eastAsia" w:ascii="仿宋_GB2312" w:hAnsi="Times New Roman" w:eastAsia="仿宋_GB2312" w:cs="Times New Roman"/>
          <w:b w:val="0"/>
          <w:bCs w:val="0"/>
          <w:sz w:val="28"/>
          <w:szCs w:val="36"/>
          <w:highlight w:val="none"/>
          <w:lang w:eastAsia="zh-CN"/>
        </w:rPr>
        <w:t>本次单位整体支出绩效自评采用</w:t>
      </w:r>
      <w:r>
        <w:rPr>
          <w:rStyle w:val="16"/>
          <w:rFonts w:hint="eastAsia" w:ascii="仿宋_GB2312" w:eastAsia="仿宋_GB2312"/>
          <w:b w:val="0"/>
          <w:bCs w:val="0"/>
          <w:sz w:val="28"/>
          <w:szCs w:val="36"/>
          <w:highlight w:val="none"/>
          <w:lang w:eastAsia="zh-CN"/>
        </w:rPr>
        <w:t>综合指数评价法，</w:t>
      </w:r>
      <w:r>
        <w:rPr>
          <w:rStyle w:val="16"/>
          <w:rFonts w:hint="eastAsia" w:ascii="仿宋_GB2312" w:eastAsia="仿宋_GB2312"/>
          <w:b w:val="0"/>
          <w:bCs w:val="0"/>
          <w:sz w:val="28"/>
          <w:szCs w:val="36"/>
          <w:highlight w:val="none"/>
          <w:lang w:val="en-US" w:eastAsia="zh-CN"/>
        </w:rPr>
        <w:t>原因是：综合评价法是我国目前绩效评价使用最多的方法，我国政府部门和地方政府大多采用这种方法，评价的准确度较高、较全面，可以</w:t>
      </w:r>
      <w:r>
        <w:rPr>
          <w:rStyle w:val="16"/>
          <w:rFonts w:hint="eastAsia" w:ascii="仿宋_GB2312" w:eastAsia="仿宋_GB2312"/>
          <w:b w:val="0"/>
          <w:bCs w:val="0"/>
          <w:sz w:val="28"/>
          <w:szCs w:val="36"/>
          <w:highlight w:val="none"/>
          <w:lang w:eastAsia="zh-CN"/>
        </w:rPr>
        <w:t>把各项绩效指标的实际水平，对照</w:t>
      </w:r>
      <w:r>
        <w:rPr>
          <w:rStyle w:val="16"/>
          <w:rFonts w:hint="eastAsia" w:ascii="仿宋_GB2312" w:eastAsia="仿宋_GB2312"/>
          <w:b w:val="0"/>
          <w:bCs w:val="0"/>
          <w:sz w:val="28"/>
          <w:szCs w:val="36"/>
          <w:highlight w:val="none"/>
          <w:lang w:val="en-US" w:eastAsia="zh-CN"/>
        </w:rPr>
        <w:t>年初</w:t>
      </w:r>
      <w:r>
        <w:rPr>
          <w:rStyle w:val="16"/>
          <w:rFonts w:hint="eastAsia" w:ascii="仿宋_GB2312" w:eastAsia="仿宋_GB2312"/>
          <w:b w:val="0"/>
          <w:bCs w:val="0"/>
          <w:sz w:val="28"/>
          <w:szCs w:val="36"/>
          <w:highlight w:val="none"/>
          <w:lang w:eastAsia="zh-CN"/>
        </w:rPr>
        <w:t xml:space="preserve">评价标准值，分别计算各项指标评价得分，再按照设定的各项指标权数计算出综合评价得分。 </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特克斯县喀拉达拉镇人民政府</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color w:val="auto"/>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3623.85</w:t>
      </w:r>
      <w:r>
        <w:rPr>
          <w:rStyle w:val="16"/>
          <w:rFonts w:hint="eastAsia" w:ascii="仿宋_GB2312" w:hAnsi="楷体" w:eastAsia="仿宋_GB2312"/>
          <w:b w:val="0"/>
          <w:spacing w:val="-4"/>
          <w:sz w:val="28"/>
          <w:szCs w:val="28"/>
        </w:rPr>
        <w:t>万元，其中：工资福利支出</w:t>
      </w:r>
      <w:r>
        <w:rPr>
          <w:rStyle w:val="16"/>
          <w:rFonts w:hint="eastAsia" w:ascii="仿宋_GB2312" w:hAnsi="楷体" w:eastAsia="仿宋_GB2312"/>
          <w:b w:val="0"/>
          <w:color w:val="auto"/>
          <w:spacing w:val="-4"/>
          <w:sz w:val="28"/>
          <w:szCs w:val="28"/>
        </w:rPr>
        <w:t>、商品和服务支出、对个人和家庭的补助支出。</w:t>
      </w:r>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ascii="仿宋_GB2312" w:hAnsi="楷体" w:eastAsia="仿宋_GB2312"/>
          <w:b w:val="0"/>
          <w:color w:val="auto"/>
          <w:spacing w:val="-4"/>
          <w:sz w:val="28"/>
          <w:szCs w:val="28"/>
        </w:rPr>
        <w:fldChar w:fldCharType="begin"/>
      </w:r>
      <w:r>
        <w:rPr>
          <w:rStyle w:val="16"/>
          <w:rFonts w:ascii="仿宋_GB2312" w:hAnsi="楷体" w:eastAsia="仿宋_GB2312"/>
          <w:b w:val="0"/>
          <w:color w:val="auto"/>
          <w:spacing w:val="-4"/>
          <w:sz w:val="28"/>
          <w:szCs w:val="28"/>
        </w:rPr>
        <w:instrText xml:space="preserve"> </w:instrText>
      </w:r>
      <w:r>
        <w:rPr>
          <w:rStyle w:val="16"/>
          <w:rFonts w:hint="eastAsia" w:ascii="仿宋_GB2312" w:hAnsi="楷体" w:eastAsia="仿宋_GB2312"/>
          <w:b w:val="0"/>
          <w:color w:val="auto"/>
          <w:spacing w:val="-4"/>
          <w:sz w:val="28"/>
          <w:szCs w:val="28"/>
        </w:rPr>
        <w:instrText xml:space="preserve">= 2 \* GB3</w:instrText>
      </w:r>
      <w:r>
        <w:rPr>
          <w:rStyle w:val="16"/>
          <w:rFonts w:ascii="仿宋_GB2312" w:hAnsi="楷体" w:eastAsia="仿宋_GB2312"/>
          <w:b w:val="0"/>
          <w:color w:val="auto"/>
          <w:spacing w:val="-4"/>
          <w:sz w:val="28"/>
          <w:szCs w:val="28"/>
        </w:rPr>
        <w:instrText xml:space="preserve"> </w:instrText>
      </w:r>
      <w:r>
        <w:rPr>
          <w:rStyle w:val="16"/>
          <w:rFonts w:ascii="仿宋_GB2312" w:hAnsi="楷体" w:eastAsia="仿宋_GB2312"/>
          <w:b w:val="0"/>
          <w:color w:val="auto"/>
          <w:spacing w:val="-4"/>
          <w:sz w:val="28"/>
          <w:szCs w:val="28"/>
        </w:rPr>
        <w:fldChar w:fldCharType="separate"/>
      </w:r>
      <w:r>
        <w:rPr>
          <w:rStyle w:val="16"/>
          <w:rFonts w:hint="eastAsia" w:ascii="仿宋_GB2312" w:hAnsi="楷体" w:eastAsia="仿宋_GB2312"/>
          <w:b w:val="0"/>
          <w:color w:val="auto"/>
          <w:spacing w:val="-4"/>
          <w:sz w:val="28"/>
          <w:szCs w:val="28"/>
        </w:rPr>
        <w:t>②</w:t>
      </w:r>
      <w:r>
        <w:rPr>
          <w:rStyle w:val="16"/>
          <w:rFonts w:ascii="仿宋_GB2312" w:hAnsi="楷体" w:eastAsia="仿宋_GB2312"/>
          <w:b w:val="0"/>
          <w:color w:val="auto"/>
          <w:spacing w:val="-4"/>
          <w:sz w:val="28"/>
          <w:szCs w:val="28"/>
        </w:rPr>
        <w:fldChar w:fldCharType="end"/>
      </w:r>
      <w:r>
        <w:rPr>
          <w:rStyle w:val="16"/>
          <w:rFonts w:hint="eastAsia" w:ascii="仿宋_GB2312" w:hAnsi="楷体" w:eastAsia="仿宋_GB2312"/>
          <w:b w:val="0"/>
          <w:color w:val="auto"/>
          <w:spacing w:val="-4"/>
          <w:sz w:val="28"/>
          <w:szCs w:val="28"/>
        </w:rPr>
        <w:t>项目支出</w:t>
      </w:r>
      <w:r>
        <w:rPr>
          <w:rStyle w:val="16"/>
          <w:rFonts w:hint="eastAsia" w:ascii="仿宋_GB2312" w:hAnsi="楷体" w:eastAsia="仿宋_GB2312"/>
          <w:b w:val="0"/>
          <w:color w:val="auto"/>
          <w:spacing w:val="-4"/>
          <w:sz w:val="28"/>
          <w:szCs w:val="28"/>
          <w:lang w:val="en-US" w:eastAsia="zh-CN"/>
        </w:rPr>
        <w:t>983.72</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spacing w:val="-4"/>
          <w:sz w:val="28"/>
          <w:szCs w:val="28"/>
        </w:rPr>
        <w:t>伊犁州特克斯县喀拉达拉镇喀甫萨朗村牧民集中定居点基础设施建设项目</w:t>
      </w:r>
      <w:r>
        <w:rPr>
          <w:rStyle w:val="16"/>
          <w:rFonts w:hint="eastAsia" w:ascii="仿宋_GB2312" w:hAnsi="楷体" w:eastAsia="仿宋_GB2312"/>
          <w:b w:val="0"/>
          <w:spacing w:val="-4"/>
          <w:sz w:val="28"/>
          <w:szCs w:val="28"/>
          <w:lang w:eastAsia="zh-CN"/>
        </w:rPr>
        <w:t>、农村饮水安全项目（喀拉达拉镇农村安全饮水工程项目、翁格尔塔斯村、泊勒坎村）、乌孙创业园区建设项目（喀拉达拉镇喀拉峻村乌孙创业园）、特克斯县喀拉达拉镇特色馕产业园区建设项目、特克斯县喀拉达拉镇改善人居环境基础设施建设项目、特克斯县喀拉达拉镇农牧民体育健身工程项目。</w:t>
      </w:r>
    </w:p>
    <w:p>
      <w:pPr>
        <w:spacing w:line="360" w:lineRule="auto"/>
        <w:ind w:firstLine="544" w:firstLineChars="200"/>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asciiTheme="minorEastAsia" w:hAnsiTheme="minorEastAsia"/>
          <w:color w:val="FF0000"/>
          <w:spacing w:val="-4"/>
          <w:sz w:val="28"/>
          <w:szCs w:val="28"/>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eastAsia="zh-CN"/>
        </w:rPr>
        <w:t>相关部门</w:t>
      </w:r>
      <w:r>
        <w:rPr>
          <w:rFonts w:hint="eastAsia" w:ascii="仿宋_GB2312" w:eastAsia="仿宋_GB2312"/>
          <w:sz w:val="28"/>
          <w:szCs w:val="36"/>
        </w:rPr>
        <w:t>要求，部门预算及绩效目标在</w:t>
      </w:r>
      <w:r>
        <w:rPr>
          <w:rFonts w:hint="eastAsia" w:ascii="仿宋_GB2312" w:eastAsia="仿宋_GB2312"/>
          <w:sz w:val="28"/>
          <w:szCs w:val="36"/>
          <w:lang w:eastAsia="zh-CN"/>
        </w:rPr>
        <w:t>特克斯县公共信息网</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我单位按照财政要求基本支出分月度申报资金使用计划，由财政部门按照进度每月按期拨付，人员支出按照工资计划发放工资；依照</w:t>
      </w:r>
      <w:r>
        <w:rPr>
          <w:rFonts w:hint="eastAsia" w:ascii="仿宋_GB2312" w:eastAsia="仿宋_GB2312"/>
          <w:sz w:val="28"/>
          <w:szCs w:val="36"/>
          <w:lang w:eastAsia="zh-CN"/>
        </w:rPr>
        <w:t>特克斯县喀拉达拉镇人民政府</w:t>
      </w:r>
      <w:r>
        <w:rPr>
          <w:rFonts w:hint="eastAsia" w:ascii="仿宋_GB2312" w:eastAsia="仿宋_GB2312"/>
          <w:sz w:val="28"/>
          <w:szCs w:val="36"/>
        </w:rPr>
        <w:t>《喀拉达拉镇收入支出财务制度》相关规定和《</w:t>
      </w:r>
      <w:r>
        <w:rPr>
          <w:rFonts w:hint="eastAsia" w:ascii="仿宋_GB2312" w:eastAsia="仿宋_GB2312"/>
          <w:color w:val="auto"/>
          <w:sz w:val="28"/>
          <w:szCs w:val="36"/>
          <w:lang w:val="en-US" w:eastAsia="zh-CN"/>
        </w:rPr>
        <w:t>预算法</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eastAsia="zh-CN"/>
        </w:rPr>
        <w:t>新疆维吾尔自治区财政厅</w:t>
      </w:r>
      <w:r>
        <w:rPr>
          <w:rFonts w:hint="eastAsia" w:ascii="仿宋_GB2312" w:eastAsia="仿宋_GB2312"/>
          <w:sz w:val="28"/>
          <w:szCs w:val="36"/>
        </w:rPr>
        <w:t>《</w:t>
      </w:r>
      <w:r>
        <w:rPr>
          <w:rFonts w:hint="eastAsia" w:ascii="仿宋_GB2312" w:eastAsia="仿宋_GB2312"/>
          <w:sz w:val="28"/>
          <w:szCs w:val="36"/>
          <w:lang w:eastAsia="zh-CN"/>
        </w:rPr>
        <w:t>新疆维吾尔自治区</w:t>
      </w:r>
      <w:r>
        <w:rPr>
          <w:rFonts w:hint="eastAsia" w:ascii="仿宋_GB2312" w:eastAsia="仿宋_GB2312"/>
          <w:sz w:val="28"/>
          <w:szCs w:val="36"/>
          <w:lang w:val="en-US" w:eastAsia="zh-CN"/>
        </w:rPr>
        <w:t>2021-2022年度政府采购集中采购目录及标准</w:t>
      </w:r>
      <w:r>
        <w:rPr>
          <w:rFonts w:hint="eastAsia" w:ascii="仿宋_GB2312" w:eastAsia="仿宋_GB2312"/>
          <w:sz w:val="28"/>
          <w:szCs w:val="36"/>
        </w:rPr>
        <w:t>》组织人员制定采购计划，按照财政局采购部门批复，进行公开招标、邀请招标等方式进行；属于非政府采购的项目，按照“三重一大”制度规定，重大项目支出上党组会研究决定。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3623.85</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3623.85</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3623.85</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78.65</w:t>
      </w:r>
      <w:r>
        <w:rPr>
          <w:rStyle w:val="16"/>
          <w:rFonts w:hint="eastAsia" w:ascii="仿宋_GB2312" w:hAnsi="楷体" w:eastAsia="仿宋_GB2312"/>
          <w:b w:val="0"/>
          <w:spacing w:val="-4"/>
          <w:sz w:val="28"/>
          <w:szCs w:val="28"/>
        </w:rPr>
        <w:t>％，其中：工资福利支出</w:t>
      </w:r>
      <w:r>
        <w:rPr>
          <w:rStyle w:val="16"/>
          <w:rFonts w:hint="eastAsia" w:ascii="仿宋_GB2312" w:hAnsi="楷体" w:eastAsia="仿宋_GB2312"/>
          <w:b w:val="0"/>
          <w:spacing w:val="-4"/>
          <w:sz w:val="28"/>
          <w:szCs w:val="28"/>
          <w:lang w:val="en-US" w:eastAsia="zh-CN"/>
        </w:rPr>
        <w:t>2430.03</w:t>
      </w:r>
      <w:r>
        <w:rPr>
          <w:rStyle w:val="16"/>
          <w:rFonts w:hint="eastAsia" w:ascii="仿宋_GB2312" w:hAnsi="楷体" w:eastAsia="仿宋_GB2312"/>
          <w:b w:val="0"/>
          <w:spacing w:val="-4"/>
          <w:sz w:val="28"/>
          <w:szCs w:val="28"/>
        </w:rPr>
        <w:t>万元、商品和服务支出</w:t>
      </w:r>
      <w:r>
        <w:rPr>
          <w:rStyle w:val="16"/>
          <w:rFonts w:hint="eastAsia" w:ascii="仿宋_GB2312" w:hAnsi="楷体" w:eastAsia="仿宋_GB2312"/>
          <w:b w:val="0"/>
          <w:spacing w:val="-4"/>
          <w:sz w:val="28"/>
          <w:szCs w:val="28"/>
          <w:lang w:val="en-US" w:eastAsia="zh-CN"/>
        </w:rPr>
        <w:t>577.30</w:t>
      </w:r>
      <w:r>
        <w:rPr>
          <w:rStyle w:val="16"/>
          <w:rFonts w:hint="eastAsia" w:ascii="仿宋_GB2312" w:hAnsi="楷体" w:eastAsia="仿宋_GB2312"/>
          <w:b w:val="0"/>
          <w:spacing w:val="-4"/>
          <w:sz w:val="28"/>
          <w:szCs w:val="28"/>
        </w:rPr>
        <w:t>万元、对个人和家庭的补助</w:t>
      </w:r>
      <w:r>
        <w:rPr>
          <w:rStyle w:val="16"/>
          <w:rFonts w:hint="eastAsia" w:ascii="仿宋_GB2312" w:hAnsi="楷体" w:eastAsia="仿宋_GB2312"/>
          <w:b w:val="0"/>
          <w:spacing w:val="-4"/>
          <w:sz w:val="28"/>
          <w:szCs w:val="28"/>
          <w:lang w:val="en-US" w:eastAsia="zh-CN"/>
        </w:rPr>
        <w:t>616.52</w:t>
      </w:r>
      <w:r>
        <w:rPr>
          <w:rStyle w:val="16"/>
          <w:rFonts w:hint="eastAsia" w:ascii="仿宋_GB2312" w:hAnsi="楷体" w:eastAsia="仿宋_GB2312"/>
          <w:b w:val="0"/>
          <w:spacing w:val="-4"/>
          <w:sz w:val="28"/>
          <w:szCs w:val="28"/>
        </w:rPr>
        <w:t>万元、主要用于主要用于</w:t>
      </w:r>
      <w:r>
        <w:rPr>
          <w:rStyle w:val="16"/>
          <w:rFonts w:hint="eastAsia" w:ascii="仿宋_GB2312" w:hAnsi="楷体" w:eastAsia="仿宋_GB2312"/>
          <w:b w:val="0"/>
          <w:spacing w:val="-4"/>
          <w:sz w:val="28"/>
          <w:szCs w:val="28"/>
          <w:lang w:eastAsia="zh-CN"/>
        </w:rPr>
        <w:t>访惠聚人员补助、</w:t>
      </w:r>
      <w:r>
        <w:rPr>
          <w:rStyle w:val="16"/>
          <w:rFonts w:hint="eastAsia" w:ascii="仿宋_GB2312" w:hAnsi="楷体" w:eastAsia="仿宋_GB2312"/>
          <w:b w:val="0"/>
          <w:spacing w:val="-4"/>
          <w:sz w:val="28"/>
          <w:szCs w:val="28"/>
          <w:lang w:val="en-US" w:eastAsia="zh-CN"/>
        </w:rPr>
        <w:t>JW</w:t>
      </w:r>
      <w:r>
        <w:rPr>
          <w:rStyle w:val="16"/>
          <w:rFonts w:hint="eastAsia" w:ascii="仿宋_GB2312" w:hAnsi="楷体" w:eastAsia="仿宋_GB2312"/>
          <w:b w:val="0"/>
          <w:spacing w:val="-4"/>
          <w:sz w:val="28"/>
          <w:szCs w:val="28"/>
          <w:lang w:eastAsia="zh-CN"/>
        </w:rPr>
        <w:t>人员补助、退休人员取暖费等</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3554.16</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69.69</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1.96</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，支出上升的主要原因是</w:t>
      </w:r>
      <w:r>
        <w:rPr>
          <w:rStyle w:val="16"/>
          <w:rFonts w:hint="eastAsia" w:ascii="仿宋_GB2312" w:hAnsi="楷体" w:eastAsia="仿宋_GB2312"/>
          <w:b w:val="0"/>
          <w:spacing w:val="-4"/>
          <w:sz w:val="28"/>
          <w:szCs w:val="28"/>
          <w:lang w:eastAsia="zh-CN"/>
        </w:rPr>
        <w:t>人员工资正常升级、社保基数增加</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7.40</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7.40</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年一般公共预算“三公”经费比上年减少</w:t>
      </w:r>
      <w:r>
        <w:rPr>
          <w:rStyle w:val="16"/>
          <w:rFonts w:hint="eastAsia" w:ascii="仿宋_GB2312" w:hAnsi="楷体" w:eastAsia="仿宋_GB2312"/>
          <w:b w:val="0"/>
          <w:spacing w:val="-4"/>
          <w:sz w:val="28"/>
          <w:szCs w:val="28"/>
          <w:lang w:val="en-US" w:eastAsia="zh-CN"/>
        </w:rPr>
        <w:t>2.60</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eastAsia="zh-CN"/>
        </w:rPr>
        <w:t>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未安排因公出国（境）费预算</w:t>
      </w:r>
      <w:r>
        <w:rPr>
          <w:rStyle w:val="16"/>
          <w:rFonts w:hint="eastAsia" w:ascii="仿宋_GB2312" w:hAnsi="楷体" w:eastAsia="仿宋_GB2312"/>
          <w:b w:val="0"/>
          <w:spacing w:val="-4"/>
          <w:sz w:val="28"/>
          <w:szCs w:val="28"/>
        </w:rPr>
        <w:t>；公务用车购置费为0，未安排预算。公务用车运行费减少</w:t>
      </w:r>
      <w:r>
        <w:rPr>
          <w:rStyle w:val="16"/>
          <w:rFonts w:hint="eastAsia" w:ascii="仿宋_GB2312" w:hAnsi="楷体" w:eastAsia="仿宋_GB2312"/>
          <w:b w:val="0"/>
          <w:spacing w:val="-4"/>
          <w:sz w:val="28"/>
          <w:szCs w:val="28"/>
          <w:lang w:val="en-US" w:eastAsia="zh-CN"/>
        </w:rPr>
        <w:t>2.60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公用经费压缩</w:t>
      </w:r>
      <w:r>
        <w:rPr>
          <w:rStyle w:val="16"/>
          <w:rFonts w:hint="eastAsia" w:ascii="仿宋_GB2312" w:hAnsi="楷体" w:eastAsia="仿宋_GB2312"/>
          <w:b w:val="0"/>
          <w:spacing w:val="-4"/>
          <w:sz w:val="28"/>
          <w:szCs w:val="28"/>
        </w:rPr>
        <w:t>；公务接待费增加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未安排公务接待费预算</w:t>
      </w:r>
      <w:r>
        <w:rPr>
          <w:rStyle w:val="16"/>
          <w:rFonts w:hint="eastAsia" w:ascii="仿宋_GB2312" w:hAnsi="楷体" w:eastAsia="仿宋_GB2312"/>
          <w:b w:val="0"/>
          <w:spacing w:val="-4"/>
          <w:sz w:val="28"/>
          <w:szCs w:val="28"/>
        </w:rPr>
        <w:t>。</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highlight w:val="none"/>
        </w:rPr>
      </w:pPr>
      <w:r>
        <w:rPr>
          <w:rStyle w:val="16"/>
          <w:rFonts w:ascii="仿宋_GB2312" w:hAnsi="楷体" w:eastAsia="仿宋_GB2312"/>
          <w:b w:val="0"/>
          <w:spacing w:val="-4"/>
          <w:sz w:val="28"/>
          <w:szCs w:val="28"/>
          <w:highlight w:val="none"/>
        </w:rPr>
        <w:t>2021</w:t>
      </w:r>
      <w:r>
        <w:rPr>
          <w:rStyle w:val="16"/>
          <w:rFonts w:hint="eastAsia" w:ascii="仿宋_GB2312" w:hAnsi="楷体" w:eastAsia="仿宋_GB2312"/>
          <w:b w:val="0"/>
          <w:spacing w:val="-4"/>
          <w:sz w:val="28"/>
          <w:szCs w:val="28"/>
          <w:highlight w:val="none"/>
        </w:rPr>
        <w:t>年预算安排专项资金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万元，实际到位</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r>
        <w:rPr>
          <w:rFonts w:hint="eastAsia"/>
          <w:highlight w:val="none"/>
        </w:rPr>
        <w:t xml:space="preserve"> </w:t>
      </w:r>
      <w:r>
        <w:rPr>
          <w:rStyle w:val="16"/>
          <w:rFonts w:hint="eastAsia" w:ascii="仿宋_GB2312" w:hAnsi="楷体" w:eastAsia="仿宋_GB2312"/>
          <w:b w:val="0"/>
          <w:spacing w:val="-4"/>
          <w:sz w:val="28"/>
          <w:szCs w:val="28"/>
          <w:highlight w:val="none"/>
        </w:rPr>
        <w:t>到位率</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％,其中:中央转移支付项目资金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万元，自治区资金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万元，本级安排</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2021年专项资金支出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%，其中2021年专项项目支出比上年</w:t>
      </w:r>
      <w:r>
        <w:rPr>
          <w:rStyle w:val="16"/>
          <w:rFonts w:hint="eastAsia" w:ascii="仿宋_GB2312" w:hAnsi="楷体" w:eastAsia="仿宋_GB2312"/>
          <w:b w:val="0"/>
          <w:spacing w:val="-4"/>
          <w:sz w:val="28"/>
          <w:szCs w:val="28"/>
          <w:highlight w:val="none"/>
          <w:lang w:val="en-US" w:eastAsia="zh-CN"/>
        </w:rPr>
        <w:t>2420.34</w:t>
      </w:r>
      <w:r>
        <w:rPr>
          <w:rStyle w:val="16"/>
          <w:rFonts w:hint="eastAsia" w:ascii="仿宋_GB2312" w:hAnsi="楷体" w:eastAsia="仿宋_GB2312"/>
          <w:b w:val="0"/>
          <w:spacing w:val="-4"/>
          <w:sz w:val="28"/>
          <w:szCs w:val="28"/>
          <w:highlight w:val="none"/>
        </w:rPr>
        <w:t>万元减少</w:t>
      </w:r>
      <w:r>
        <w:rPr>
          <w:rStyle w:val="16"/>
          <w:rFonts w:hint="eastAsia" w:ascii="仿宋_GB2312" w:hAnsi="楷体" w:eastAsia="仿宋_GB2312"/>
          <w:b w:val="0"/>
          <w:spacing w:val="-4"/>
          <w:sz w:val="28"/>
          <w:szCs w:val="28"/>
          <w:highlight w:val="none"/>
          <w:lang w:val="en-US" w:eastAsia="zh-CN"/>
        </w:rPr>
        <w:t>2420.34</w:t>
      </w:r>
      <w:r>
        <w:rPr>
          <w:rStyle w:val="16"/>
          <w:rFonts w:hint="eastAsia" w:ascii="仿宋_GB2312" w:hAnsi="楷体" w:eastAsia="仿宋_GB2312"/>
          <w:b w:val="0"/>
          <w:spacing w:val="-4"/>
          <w:sz w:val="28"/>
          <w:szCs w:val="28"/>
          <w:highlight w:val="none"/>
        </w:rPr>
        <w:t>万元，下降</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%。支出减少的主要原因是</w:t>
      </w:r>
      <w:r>
        <w:rPr>
          <w:rStyle w:val="16"/>
          <w:rFonts w:hint="eastAsia" w:ascii="仿宋_GB2312" w:hAnsi="楷体" w:eastAsia="仿宋_GB2312"/>
          <w:b w:val="0"/>
          <w:spacing w:val="-4"/>
          <w:sz w:val="28"/>
          <w:szCs w:val="28"/>
          <w:highlight w:val="none"/>
          <w:lang w:eastAsia="zh-CN"/>
        </w:rPr>
        <w:t>项目安排减少</w:t>
      </w:r>
      <w:r>
        <w:rPr>
          <w:rStyle w:val="16"/>
          <w:rFonts w:hint="eastAsia" w:ascii="仿宋_GB2312" w:hAnsi="楷体" w:eastAsia="仿宋_GB2312"/>
          <w:b w:val="0"/>
          <w:spacing w:val="-4"/>
          <w:sz w:val="28"/>
          <w:szCs w:val="28"/>
          <w:highlight w:val="none"/>
        </w:rPr>
        <w:t>。</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w:t>
      </w:r>
      <w:r>
        <w:rPr>
          <w:rStyle w:val="16"/>
          <w:rFonts w:hint="eastAsia" w:ascii="仿宋_GB2312" w:hAnsi="楷体" w:eastAsia="仿宋_GB2312"/>
          <w:b w:val="0"/>
          <w:spacing w:val="-4"/>
          <w:sz w:val="28"/>
          <w:szCs w:val="28"/>
          <w:lang w:val="en-US" w:eastAsia="zh-CN"/>
        </w:rPr>
        <w:t>我单位主要</w:t>
      </w:r>
      <w:r>
        <w:rPr>
          <w:rStyle w:val="16"/>
          <w:rFonts w:hint="eastAsia" w:ascii="仿宋_GB2312" w:hAnsi="楷体" w:eastAsia="仿宋_GB2312"/>
          <w:b w:val="0"/>
          <w:spacing w:val="-4"/>
          <w:sz w:val="28"/>
          <w:szCs w:val="28"/>
        </w:rPr>
        <w:t>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Style w:val="16"/>
          <w:rFonts w:hint="eastAsia" w:ascii="仿宋_GB2312" w:hAnsi="楷体" w:eastAsia="仿宋_GB2312"/>
          <w:b w:val="0"/>
          <w:spacing w:val="-4"/>
          <w:sz w:val="28"/>
          <w:szCs w:val="28"/>
          <w:lang w:eastAsia="zh-CN"/>
        </w:rPr>
        <w:t>喀拉达拉镇工程建设管理制度</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eastAsia="zh-CN"/>
        </w:rPr>
        <w:t>喀拉达拉镇收入支出财务制度</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w:t>
      </w:r>
      <w:r>
        <w:rPr>
          <w:rStyle w:val="16"/>
          <w:rFonts w:hint="eastAsia" w:ascii="仿宋_GB2312" w:hAnsi="楷体" w:eastAsia="仿宋_GB2312"/>
          <w:b w:val="0"/>
          <w:spacing w:val="-4"/>
          <w:sz w:val="28"/>
          <w:szCs w:val="28"/>
          <w:lang w:eastAsia="zh-CN"/>
        </w:rPr>
        <w:t>镇</w:t>
      </w:r>
      <w:r>
        <w:rPr>
          <w:rStyle w:val="16"/>
          <w:rFonts w:hint="eastAsia" w:ascii="仿宋_GB2312" w:hAnsi="楷体" w:eastAsia="仿宋_GB2312"/>
          <w:b w:val="0"/>
          <w:spacing w:val="-4"/>
          <w:sz w:val="28"/>
          <w:szCs w:val="28"/>
        </w:rPr>
        <w:t>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w:t>
      </w:r>
      <w:r>
        <w:rPr>
          <w:rStyle w:val="16"/>
          <w:rFonts w:hint="eastAsia" w:ascii="仿宋_GB2312" w:hAnsi="楷体" w:eastAsia="仿宋_GB2312"/>
          <w:b w:val="0"/>
          <w:spacing w:val="-4"/>
          <w:sz w:val="28"/>
          <w:szCs w:val="28"/>
          <w:lang w:eastAsia="zh-CN"/>
        </w:rPr>
        <w:t>喀拉达拉镇项目建设</w:t>
      </w:r>
      <w:r>
        <w:rPr>
          <w:rStyle w:val="16"/>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w:t>
      </w:r>
      <w:r>
        <w:rPr>
          <w:rStyle w:val="16"/>
          <w:rFonts w:hint="eastAsia" w:ascii="仿宋_GB2312" w:hAnsi="楷体" w:eastAsia="仿宋_GB2312"/>
          <w:b w:val="0"/>
          <w:spacing w:val="-4"/>
          <w:sz w:val="28"/>
          <w:szCs w:val="28"/>
          <w:lang w:eastAsia="zh-CN"/>
        </w:rPr>
        <w:t>喀拉达拉镇</w:t>
      </w:r>
      <w:r>
        <w:rPr>
          <w:rStyle w:val="16"/>
          <w:rFonts w:hint="eastAsia" w:ascii="仿宋_GB2312" w:hAnsi="楷体" w:eastAsia="仿宋_GB2312"/>
          <w:b w:val="0"/>
          <w:spacing w:val="-4"/>
          <w:sz w:val="28"/>
          <w:szCs w:val="28"/>
        </w:rPr>
        <w:t>项目实施方案，确保项目</w:t>
      </w:r>
      <w:r>
        <w:rPr>
          <w:rStyle w:val="16"/>
          <w:rFonts w:hint="eastAsia" w:ascii="仿宋_GB2312" w:hAnsi="楷体" w:eastAsia="仿宋_GB2312"/>
          <w:b w:val="0"/>
          <w:spacing w:val="-4"/>
          <w:sz w:val="28"/>
          <w:szCs w:val="28"/>
          <w:lang w:eastAsia="zh-CN"/>
        </w:rPr>
        <w:t>有效实施</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w:t>
      </w:r>
      <w:r>
        <w:rPr>
          <w:rStyle w:val="16"/>
          <w:rFonts w:hint="eastAsia" w:ascii="仿宋_GB2312" w:hAnsi="楷体" w:eastAsia="仿宋_GB2312"/>
          <w:b w:val="0"/>
          <w:spacing w:val="-4"/>
          <w:sz w:val="28"/>
          <w:szCs w:val="28"/>
          <w:lang w:eastAsia="zh-CN"/>
        </w:rPr>
        <w:t>喀拉达拉镇</w:t>
      </w:r>
      <w:r>
        <w:rPr>
          <w:rStyle w:val="16"/>
          <w:rFonts w:hint="eastAsia" w:ascii="仿宋_GB2312" w:hAnsi="楷体" w:eastAsia="仿宋_GB2312"/>
          <w:b w:val="0"/>
          <w:spacing w:val="-4"/>
          <w:sz w:val="28"/>
          <w:szCs w:val="28"/>
        </w:rPr>
        <w:t>项目验收，确保</w:t>
      </w:r>
      <w:r>
        <w:rPr>
          <w:rStyle w:val="16"/>
          <w:rFonts w:hint="eastAsia" w:ascii="仿宋_GB2312" w:hAnsi="楷体" w:eastAsia="仿宋_GB2312"/>
          <w:b w:val="0"/>
          <w:spacing w:val="-4"/>
          <w:sz w:val="28"/>
          <w:szCs w:val="28"/>
          <w:lang w:eastAsia="zh-CN"/>
        </w:rPr>
        <w:t>项目顺利落实</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w:t>
      </w:r>
      <w:r>
        <w:rPr>
          <w:rStyle w:val="16"/>
          <w:rFonts w:hint="eastAsia" w:ascii="仿宋_GB2312" w:hAnsi="楷体" w:eastAsia="仿宋_GB2312"/>
          <w:b w:val="0"/>
          <w:spacing w:val="-4"/>
          <w:sz w:val="28"/>
          <w:szCs w:val="28"/>
          <w:lang w:eastAsia="zh-CN"/>
        </w:rPr>
        <w:t>新疆维吾尔自治区财政厅</w:t>
      </w:r>
      <w:r>
        <w:rPr>
          <w:rFonts w:hint="eastAsia" w:ascii="仿宋_GB2312" w:eastAsia="仿宋_GB2312"/>
          <w:sz w:val="28"/>
          <w:szCs w:val="36"/>
        </w:rPr>
        <w:t>《</w:t>
      </w:r>
      <w:r>
        <w:rPr>
          <w:rFonts w:hint="eastAsia" w:ascii="仿宋_GB2312" w:eastAsia="仿宋_GB2312"/>
          <w:sz w:val="28"/>
          <w:szCs w:val="36"/>
          <w:lang w:eastAsia="zh-CN"/>
        </w:rPr>
        <w:t>新疆维吾尔自治区</w:t>
      </w:r>
      <w:r>
        <w:rPr>
          <w:rFonts w:hint="eastAsia" w:ascii="仿宋_GB2312" w:eastAsia="仿宋_GB2312"/>
          <w:sz w:val="28"/>
          <w:szCs w:val="36"/>
          <w:lang w:val="en-US" w:eastAsia="zh-CN"/>
        </w:rPr>
        <w:t>2021-2022年度政府采购集中采购目录及标准</w:t>
      </w:r>
      <w:r>
        <w:rPr>
          <w:rFonts w:hint="eastAsia" w:ascii="仿宋_GB2312" w:eastAsia="仿宋_GB2312"/>
          <w:sz w:val="28"/>
          <w:szCs w:val="36"/>
        </w:rPr>
        <w:t>》</w:t>
      </w:r>
      <w:r>
        <w:rPr>
          <w:rStyle w:val="16"/>
          <w:rFonts w:hint="eastAsia" w:ascii="仿宋_GB2312" w:hAnsi="楷体" w:eastAsia="仿宋_GB2312"/>
          <w:b w:val="0"/>
          <w:spacing w:val="-4"/>
          <w:sz w:val="28"/>
          <w:szCs w:val="28"/>
        </w:rPr>
        <w:t>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本单位2021年度未安排项目支出预算</w:t>
      </w:r>
    </w:p>
    <w:p>
      <w:pPr>
        <w:rPr>
          <w:rFonts w:hint="eastAsia"/>
        </w:rPr>
      </w:pP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楷体" w:eastAsia="仿宋_GB2312"/>
          <w:b w:val="0"/>
          <w:spacing w:val="-4"/>
          <w:sz w:val="28"/>
          <w:szCs w:val="28"/>
          <w:lang w:val="en-US" w:eastAsia="zh-CN"/>
        </w:rPr>
        <w:t>单位</w:t>
      </w:r>
      <w:r>
        <w:rPr>
          <w:rStyle w:val="16"/>
          <w:rFonts w:hint="eastAsia" w:ascii="仿宋_GB2312" w:hAnsi="宋体" w:eastAsia="仿宋_GB2312"/>
          <w:b w:val="0"/>
          <w:bCs w:val="0"/>
          <w:spacing w:val="-4"/>
          <w:sz w:val="28"/>
          <w:szCs w:val="28"/>
        </w:rPr>
        <w:t>资产总额</w:t>
      </w:r>
      <w:r>
        <w:rPr>
          <w:rStyle w:val="16"/>
          <w:rFonts w:hint="eastAsia" w:ascii="仿宋_GB2312" w:hAnsi="宋体" w:eastAsia="仿宋_GB2312"/>
          <w:b w:val="0"/>
          <w:bCs w:val="0"/>
          <w:spacing w:val="-4"/>
          <w:sz w:val="28"/>
          <w:szCs w:val="28"/>
          <w:lang w:val="en-US" w:eastAsia="zh-CN"/>
        </w:rPr>
        <w:t>355.63</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254.64</w:t>
      </w:r>
      <w:r>
        <w:rPr>
          <w:rStyle w:val="16"/>
          <w:rFonts w:hint="eastAsia" w:ascii="仿宋_GB2312" w:hAnsi="宋体" w:eastAsia="仿宋_GB2312"/>
          <w:b w:val="0"/>
          <w:bCs w:val="0"/>
          <w:spacing w:val="-4"/>
          <w:sz w:val="28"/>
          <w:szCs w:val="28"/>
        </w:rPr>
        <w:t>万元，固定资产净值</w:t>
      </w:r>
      <w:r>
        <w:rPr>
          <w:rStyle w:val="16"/>
          <w:rFonts w:hint="eastAsia" w:ascii="仿宋_GB2312" w:hAnsi="宋体" w:eastAsia="仿宋_GB2312"/>
          <w:b w:val="0"/>
          <w:bCs w:val="0"/>
          <w:spacing w:val="-4"/>
          <w:sz w:val="28"/>
          <w:szCs w:val="28"/>
          <w:lang w:val="en-US" w:eastAsia="zh-CN"/>
        </w:rPr>
        <w:t>100.98</w:t>
      </w:r>
      <w:r>
        <w:rPr>
          <w:rStyle w:val="16"/>
          <w:rFonts w:hint="eastAsia" w:ascii="仿宋_GB2312" w:hAnsi="宋体" w:eastAsia="仿宋_GB2312"/>
          <w:b w:val="0"/>
          <w:bCs w:val="0"/>
          <w:spacing w:val="-4"/>
          <w:sz w:val="28"/>
          <w:szCs w:val="28"/>
        </w:rPr>
        <w:t>万元</w:t>
      </w:r>
      <w:r>
        <w:rPr>
          <w:rStyle w:val="16"/>
          <w:rFonts w:hint="eastAsia" w:ascii="仿宋_GB2312" w:hAnsi="宋体" w:eastAsia="仿宋_GB2312"/>
          <w:b w:val="0"/>
          <w:bCs w:val="0"/>
          <w:color w:val="auto"/>
          <w:spacing w:val="-4"/>
          <w:sz w:val="28"/>
          <w:szCs w:val="28"/>
        </w:rPr>
        <w:t>（其中：土地、房屋及构筑物</w:t>
      </w:r>
      <w:r>
        <w:rPr>
          <w:rStyle w:val="16"/>
          <w:rFonts w:hint="eastAsia" w:ascii="仿宋_GB2312" w:hAnsi="宋体" w:eastAsia="仿宋_GB2312"/>
          <w:b w:val="0"/>
          <w:bCs w:val="0"/>
          <w:color w:val="auto"/>
          <w:spacing w:val="-4"/>
          <w:sz w:val="28"/>
          <w:szCs w:val="28"/>
          <w:lang w:val="en-US" w:eastAsia="zh-CN"/>
        </w:rPr>
        <w:t>65.04</w:t>
      </w:r>
      <w:r>
        <w:rPr>
          <w:rStyle w:val="16"/>
          <w:rFonts w:hint="eastAsia" w:ascii="仿宋_GB2312" w:hAnsi="宋体" w:eastAsia="仿宋_GB2312"/>
          <w:b w:val="0"/>
          <w:bCs w:val="0"/>
          <w:color w:val="auto"/>
          <w:spacing w:val="-4"/>
          <w:sz w:val="28"/>
          <w:szCs w:val="28"/>
        </w:rPr>
        <w:t>万元，占固定资产净值的</w:t>
      </w:r>
      <w:r>
        <w:rPr>
          <w:rStyle w:val="16"/>
          <w:rFonts w:hint="eastAsia" w:ascii="仿宋_GB2312" w:hAnsi="宋体" w:eastAsia="仿宋_GB2312"/>
          <w:b w:val="0"/>
          <w:bCs w:val="0"/>
          <w:color w:val="auto"/>
          <w:spacing w:val="-4"/>
          <w:sz w:val="28"/>
          <w:szCs w:val="28"/>
          <w:lang w:val="en-US" w:eastAsia="zh-CN"/>
        </w:rPr>
        <w:t>64.41</w:t>
      </w:r>
      <w:r>
        <w:rPr>
          <w:rStyle w:val="16"/>
          <w:rFonts w:hint="eastAsia" w:ascii="仿宋_GB2312" w:hAnsi="宋体" w:eastAsia="仿宋_GB2312"/>
          <w:b w:val="0"/>
          <w:bCs w:val="0"/>
          <w:color w:val="auto"/>
          <w:spacing w:val="-4"/>
          <w:sz w:val="28"/>
          <w:szCs w:val="28"/>
        </w:rPr>
        <w:t>%；通用设备</w:t>
      </w:r>
      <w:r>
        <w:rPr>
          <w:rStyle w:val="16"/>
          <w:rFonts w:hint="eastAsia" w:ascii="仿宋_GB2312" w:hAnsi="宋体" w:eastAsia="仿宋_GB2312"/>
          <w:b w:val="0"/>
          <w:bCs w:val="0"/>
          <w:spacing w:val="-4"/>
          <w:sz w:val="28"/>
          <w:szCs w:val="28"/>
          <w:lang w:val="en-US" w:eastAsia="zh-CN"/>
        </w:rPr>
        <w:t>12.29</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12.17</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5.35</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5.30</w:t>
      </w:r>
      <w:r>
        <w:rPr>
          <w:rStyle w:val="16"/>
          <w:rFonts w:hint="eastAsia" w:ascii="仿宋_GB2312" w:hAnsi="宋体" w:eastAsia="仿宋_GB2312"/>
          <w:b w:val="0"/>
          <w:bCs w:val="0"/>
          <w:spacing w:val="-4"/>
          <w:sz w:val="28"/>
          <w:szCs w:val="28"/>
        </w:rPr>
        <w:t>%；其他</w:t>
      </w:r>
      <w:r>
        <w:rPr>
          <w:rStyle w:val="16"/>
          <w:rFonts w:hint="eastAsia" w:ascii="仿宋_GB2312" w:hAnsi="宋体" w:eastAsia="仿宋_GB2312"/>
          <w:b w:val="0"/>
          <w:bCs w:val="0"/>
          <w:spacing w:val="-4"/>
          <w:sz w:val="28"/>
          <w:szCs w:val="28"/>
          <w:lang w:val="en-US" w:eastAsia="zh-CN"/>
        </w:rPr>
        <w:t>资产净值18.30万元，占固定资产净值的18.12%</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254.64</w:t>
      </w:r>
      <w:r>
        <w:rPr>
          <w:rStyle w:val="16"/>
          <w:rFonts w:hint="eastAsia" w:ascii="仿宋_GB2312" w:hAnsi="宋体" w:eastAsia="仿宋_GB2312"/>
          <w:b w:val="0"/>
          <w:bCs w:val="0"/>
          <w:spacing w:val="-4"/>
          <w:sz w:val="28"/>
          <w:szCs w:val="28"/>
        </w:rPr>
        <w:t>万元，比上年</w:t>
      </w:r>
      <w:r>
        <w:rPr>
          <w:rStyle w:val="16"/>
          <w:rFonts w:hint="eastAsia" w:ascii="仿宋_GB2312" w:hAnsi="宋体" w:eastAsia="仿宋_GB2312"/>
          <w:b w:val="0"/>
          <w:bCs w:val="0"/>
          <w:spacing w:val="-4"/>
          <w:sz w:val="28"/>
          <w:szCs w:val="28"/>
          <w:lang w:val="en-US" w:eastAsia="zh-CN"/>
        </w:rPr>
        <w:t>减少15.60</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由于两项清理工作，对应收款进行了清理</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323.87</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1.55</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新购入固定资产</w:t>
      </w:r>
      <w:r>
        <w:rPr>
          <w:rStyle w:val="16"/>
          <w:rFonts w:hint="eastAsia" w:ascii="仿宋_GB2312" w:hAnsi="宋体" w:eastAsia="仿宋_GB2312"/>
          <w:b w:val="0"/>
          <w:bCs w:val="0"/>
          <w:spacing w:val="-4"/>
          <w:sz w:val="28"/>
          <w:szCs w:val="28"/>
        </w:rPr>
        <w:t>。</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323.87</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lang w:val="en-US" w:eastAsia="zh-CN"/>
        </w:rPr>
        <w:t>1707.97</w:t>
      </w:r>
      <w:r>
        <w:rPr>
          <w:rStyle w:val="16"/>
          <w:rFonts w:hint="eastAsia" w:ascii="仿宋_GB2312" w:hAnsi="宋体" w:eastAsia="仿宋_GB2312"/>
          <w:b w:val="0"/>
          <w:bCs w:val="0"/>
          <w:spacing w:val="-4"/>
          <w:sz w:val="28"/>
          <w:szCs w:val="28"/>
        </w:rPr>
        <w:t>万元，年中调整</w:t>
      </w:r>
      <w:r>
        <w:rPr>
          <w:rStyle w:val="16"/>
          <w:rFonts w:hint="eastAsia" w:ascii="仿宋_GB2312" w:hAnsi="楷体" w:eastAsia="仿宋_GB2312"/>
          <w:b w:val="0"/>
          <w:spacing w:val="-4"/>
          <w:sz w:val="28"/>
          <w:szCs w:val="28"/>
          <w:lang w:val="en-US" w:eastAsia="zh-CN"/>
        </w:rPr>
        <w:t>2899.60</w:t>
      </w:r>
      <w:r>
        <w:rPr>
          <w:rStyle w:val="16"/>
          <w:rFonts w:hint="eastAsia" w:ascii="仿宋_GB2312" w:hAnsi="宋体" w:eastAsia="仿宋_GB2312"/>
          <w:b w:val="0"/>
          <w:bCs w:val="0"/>
          <w:spacing w:val="-4"/>
          <w:sz w:val="28"/>
          <w:szCs w:val="28"/>
        </w:rPr>
        <w:t>万元，截止12月底支出</w:t>
      </w:r>
      <w:r>
        <w:rPr>
          <w:rStyle w:val="16"/>
          <w:rFonts w:hint="eastAsia" w:ascii="仿宋_GB2312" w:hAnsi="宋体" w:eastAsia="仿宋_GB2312"/>
          <w:b w:val="0"/>
          <w:bCs w:val="0"/>
          <w:spacing w:val="-4"/>
          <w:sz w:val="28"/>
          <w:szCs w:val="28"/>
          <w:lang w:val="en-US" w:eastAsia="zh-CN"/>
        </w:rPr>
        <w:t>4607.57</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val="en-US" w:eastAsia="zh-CN"/>
        </w:rPr>
        <w:t>特克斯县喀拉达拉镇人民政府</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val="en-US" w:eastAsia="zh-CN"/>
        </w:rPr>
        <w:t>喀拉达拉镇党委</w:t>
      </w:r>
      <w:r>
        <w:rPr>
          <w:rStyle w:val="16"/>
          <w:rFonts w:hint="eastAsia" w:ascii="仿宋_GB2312" w:hAnsi="宋体" w:eastAsia="仿宋_GB2312"/>
          <w:b w:val="0"/>
          <w:bCs w:val="0"/>
          <w:spacing w:val="-4"/>
          <w:sz w:val="28"/>
          <w:szCs w:val="28"/>
        </w:rPr>
        <w:t>的正确领导下，我</w:t>
      </w:r>
      <w:r>
        <w:rPr>
          <w:rStyle w:val="16"/>
          <w:rFonts w:hint="eastAsia" w:ascii="仿宋_GB2312" w:hAnsi="宋体" w:eastAsia="仿宋_GB2312"/>
          <w:b w:val="0"/>
          <w:bCs w:val="0"/>
          <w:spacing w:val="-4"/>
          <w:sz w:val="28"/>
          <w:szCs w:val="28"/>
          <w:lang w:val="en-US" w:eastAsia="zh-CN"/>
        </w:rPr>
        <w:t>单</w:t>
      </w:r>
      <w:r>
        <w:rPr>
          <w:rStyle w:val="16"/>
          <w:rFonts w:hint="eastAsia" w:ascii="仿宋_GB2312" w:hAnsi="宋体" w:eastAsia="仿宋_GB2312"/>
          <w:b w:val="0"/>
          <w:bCs w:val="0"/>
          <w:spacing w:val="-4"/>
          <w:sz w:val="28"/>
          <w:szCs w:val="28"/>
        </w:rPr>
        <w:t>位迎难而上、务实重干，积极推动各项工作取得了新的进展，为促进经济持续健康发展与社会和谐稳定提供了有力的</w:t>
      </w:r>
      <w:r>
        <w:rPr>
          <w:rStyle w:val="16"/>
          <w:rFonts w:hint="eastAsia" w:ascii="仿宋_GB2312" w:hAnsi="宋体" w:eastAsia="仿宋_GB2312"/>
          <w:b w:val="0"/>
          <w:bCs w:val="0"/>
          <w:spacing w:val="-4"/>
          <w:sz w:val="28"/>
          <w:szCs w:val="28"/>
          <w:lang w:val="en-US" w:eastAsia="zh-CN"/>
        </w:rPr>
        <w:t>经济</w:t>
      </w:r>
      <w:r>
        <w:rPr>
          <w:rStyle w:val="16"/>
          <w:rFonts w:hint="eastAsia" w:ascii="仿宋_GB2312" w:hAnsi="宋体" w:eastAsia="仿宋_GB2312"/>
          <w:b w:val="0"/>
          <w:bCs w:val="0"/>
          <w:spacing w:val="-4"/>
          <w:sz w:val="28"/>
          <w:szCs w:val="28"/>
        </w:rPr>
        <w:t>支撑和保障。</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1、圆满完成</w:t>
      </w:r>
      <w:r>
        <w:rPr>
          <w:rStyle w:val="16"/>
          <w:rFonts w:hint="eastAsia" w:ascii="仿宋_GB2312" w:hAnsi="宋体" w:eastAsia="仿宋_GB2312"/>
          <w:b w:val="0"/>
          <w:bCs w:val="0"/>
          <w:spacing w:val="-4"/>
          <w:sz w:val="28"/>
          <w:szCs w:val="28"/>
          <w:lang w:val="en-US" w:eastAsia="zh-CN"/>
        </w:rPr>
        <w:t>年初既定目标任务</w:t>
      </w:r>
      <w:r>
        <w:rPr>
          <w:rStyle w:val="16"/>
          <w:rFonts w:hint="eastAsia" w:ascii="仿宋_GB2312" w:hAnsi="宋体" w:eastAsia="仿宋_GB2312"/>
          <w:b w:val="0"/>
          <w:bCs w:val="0"/>
          <w:spacing w:val="-4"/>
          <w:sz w:val="28"/>
          <w:szCs w:val="28"/>
        </w:rPr>
        <w:t>工作</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提高政治站位，增强‘“四个意识”，坚定“四个自信”，做到“两个维护”的政治高度，以最坚定的决心，最迅速的行动、最严实的作风，坚决完成第三方评估、成效考核、县委督查、审计跟踪等问题整改清零销号；着力解决“两不愁三保障”突出问题，全力补齐短板弱项，综合统筹，协调推进，抓好各项经济增长，积极做好疫病防控工作</w:t>
      </w:r>
      <w:r>
        <w:rPr>
          <w:rStyle w:val="16"/>
          <w:rFonts w:hint="eastAsia" w:ascii="仿宋_GB2312" w:hAnsi="宋体" w:eastAsia="仿宋_GB2312"/>
          <w:b w:val="0"/>
          <w:bCs w:val="0"/>
          <w:spacing w:val="-4"/>
          <w:sz w:val="28"/>
          <w:szCs w:val="28"/>
        </w:rPr>
        <w:t>。</w:t>
      </w:r>
    </w:p>
    <w:p>
      <w:pPr>
        <w:tabs>
          <w:tab w:val="left" w:pos="312"/>
        </w:tabs>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下达告知项目</w:t>
      </w:r>
      <w:r>
        <w:rPr>
          <w:rStyle w:val="16"/>
          <w:rFonts w:hint="eastAsia" w:ascii="仿宋_GB2312" w:hAnsi="宋体" w:eastAsia="仿宋_GB2312"/>
          <w:b w:val="0"/>
          <w:bCs w:val="0"/>
          <w:spacing w:val="-4"/>
          <w:sz w:val="28"/>
          <w:szCs w:val="28"/>
        </w:rPr>
        <w:t>任务提前完成</w:t>
      </w:r>
    </w:p>
    <w:p>
      <w:pPr>
        <w:tabs>
          <w:tab w:val="left" w:pos="312"/>
        </w:tabs>
        <w:spacing w:line="360" w:lineRule="auto"/>
        <w:ind w:firstLine="544" w:firstLineChars="200"/>
        <w:rPr>
          <w:rStyle w:val="16"/>
          <w:rFonts w:hint="default"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以工代赈项目计划是党中央、国务院为了改善贫困地区基础设施条件、助力乡村振兴、帮助脱贫群众致富的重大举措</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针对提前下达的以工代赈任务计划，保质保量顺利实施。</w:t>
      </w:r>
    </w:p>
    <w:p>
      <w:pPr>
        <w:pStyle w:val="20"/>
        <w:numPr>
          <w:ilvl w:val="0"/>
          <w:numId w:val="0"/>
        </w:numPr>
        <w:tabs>
          <w:tab w:val="left" w:pos="312"/>
        </w:tabs>
        <w:spacing w:line="360" w:lineRule="auto"/>
        <w:ind w:leftChars="200"/>
        <w:jc w:val="left"/>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3.环境治理</w:t>
      </w:r>
      <w:r>
        <w:rPr>
          <w:rStyle w:val="16"/>
          <w:rFonts w:hint="eastAsia" w:ascii="仿宋_GB2312" w:hAnsi="宋体" w:eastAsia="仿宋_GB2312"/>
          <w:b w:val="0"/>
          <w:bCs w:val="0"/>
          <w:spacing w:val="-4"/>
          <w:sz w:val="28"/>
          <w:szCs w:val="28"/>
        </w:rPr>
        <w:t>成效显著</w:t>
      </w:r>
    </w:p>
    <w:p>
      <w:pPr>
        <w:spacing w:line="360" w:lineRule="auto"/>
        <w:ind w:firstLine="544" w:firstLineChars="200"/>
        <w:rPr>
          <w:rStyle w:val="16"/>
          <w:rFonts w:hint="default" w:ascii="仿宋_GB2312" w:hAnsi="宋体" w:eastAsia="仿宋_GB2312"/>
          <w:b w:val="0"/>
          <w:bCs w:val="0"/>
          <w:spacing w:val="-4"/>
          <w:sz w:val="28"/>
          <w:szCs w:val="28"/>
          <w:lang w:val="en-US"/>
        </w:rPr>
      </w:pPr>
      <w:r>
        <w:rPr>
          <w:rStyle w:val="16"/>
          <w:rFonts w:hint="eastAsia" w:ascii="仿宋_GB2312" w:hAnsi="宋体" w:eastAsia="仿宋_GB2312"/>
          <w:b w:val="0"/>
          <w:bCs w:val="0"/>
          <w:spacing w:val="-4"/>
          <w:sz w:val="28"/>
          <w:szCs w:val="28"/>
          <w:lang w:val="en-US" w:eastAsia="zh-CN"/>
        </w:rPr>
        <w:t>积极开展农村人居环境整治工作，建立健全网格化管理工作机制，全面推行“片长”“巷长”工作制度，建立“村干部包片”管理体系，有效发挥“片长”“巷长”先锋引领作用，打通农村人居环境整治“神经末梢”。</w:t>
      </w:r>
    </w:p>
    <w:p>
      <w:pPr>
        <w:pStyle w:val="20"/>
        <w:pageBreakBefore w:val="0"/>
        <w:widowControl w:val="0"/>
        <w:numPr>
          <w:ilvl w:val="0"/>
          <w:numId w:val="0"/>
        </w:numPr>
        <w:tabs>
          <w:tab w:val="left" w:pos="312"/>
        </w:tabs>
        <w:kinsoku/>
        <w:wordWrap/>
        <w:overflowPunct/>
        <w:topLinePunct w:val="0"/>
        <w:autoSpaceDE/>
        <w:autoSpaceDN/>
        <w:bidi w:val="0"/>
        <w:adjustRightInd/>
        <w:snapToGrid/>
        <w:spacing w:line="360" w:lineRule="auto"/>
        <w:ind w:leftChars="200"/>
        <w:textAlignment w:val="auto"/>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4.垃圾清理批次、绿化面积全面达标，群众满意度高</w:t>
      </w:r>
    </w:p>
    <w:p>
      <w:pPr>
        <w:pStyle w:val="4"/>
        <w:pageBreakBefore w:val="0"/>
        <w:widowControl w:val="0"/>
        <w:kinsoku/>
        <w:wordWrap/>
        <w:overflowPunct/>
        <w:topLinePunct w:val="0"/>
        <w:autoSpaceDE/>
        <w:autoSpaceDN/>
        <w:bidi w:val="0"/>
        <w:adjustRightInd/>
        <w:snapToGrid/>
        <w:spacing w:line="360" w:lineRule="auto"/>
        <w:ind w:firstLine="544" w:firstLineChars="200"/>
        <w:textAlignment w:val="auto"/>
        <w:rPr>
          <w:rStyle w:val="16"/>
          <w:rFonts w:hint="default" w:ascii="仿宋_GB2312" w:hAnsi="宋体" w:eastAsia="仿宋_GB2312"/>
          <w:b w:val="0"/>
          <w:bCs w:val="0"/>
          <w:spacing w:val="-4"/>
          <w:sz w:val="28"/>
          <w:szCs w:val="28"/>
          <w:lang w:val="en-US" w:eastAsia="zh-CN"/>
        </w:rPr>
      </w:pPr>
      <w:bookmarkStart w:id="26" w:name="_Toc70450316"/>
      <w:r>
        <w:rPr>
          <w:rStyle w:val="16"/>
          <w:rFonts w:hint="eastAsia" w:ascii="仿宋_GB2312" w:hAnsi="宋体" w:eastAsia="仿宋_GB2312" w:cstheme="minorBidi"/>
          <w:b w:val="0"/>
          <w:bCs w:val="0"/>
          <w:spacing w:val="-4"/>
          <w:kern w:val="2"/>
          <w:sz w:val="28"/>
          <w:szCs w:val="28"/>
          <w:lang w:val="en-US" w:eastAsia="zh-CN" w:bidi="ar-SA"/>
        </w:rPr>
        <w:t>从去年开始，镇政府和</w:t>
      </w:r>
      <w:r>
        <w:rPr>
          <w:rStyle w:val="16"/>
          <w:rFonts w:hint="eastAsia" w:ascii="仿宋_GB2312" w:hAnsi="宋体" w:eastAsia="仿宋_GB2312"/>
          <w:b w:val="0"/>
          <w:bCs w:val="0"/>
          <w:spacing w:val="-4"/>
          <w:sz w:val="28"/>
          <w:szCs w:val="28"/>
          <w:lang w:val="en-US" w:eastAsia="zh-CN"/>
        </w:rPr>
        <w:t>相关部门，为了解决垃圾收集站恶臭问题，组织对收集站进行了恶臭治理。对沿途村庄种植灌木丛、风景树，提高绿化面积，美化环境，营造了良好的村貌。</w:t>
      </w:r>
    </w:p>
    <w:p>
      <w:pPr>
        <w:pStyle w:val="4"/>
        <w:spacing w:line="360" w:lineRule="auto"/>
        <w:ind w:firstLine="643" w:firstLineChars="200"/>
        <w:rPr>
          <w:rStyle w:val="16"/>
          <w:rFonts w:ascii="仿宋" w:hAnsi="仿宋" w:eastAsia="仿宋"/>
          <w:b/>
          <w:bCs/>
        </w:rPr>
      </w:pPr>
      <w:r>
        <w:rPr>
          <w:rStyle w:val="16"/>
          <w:rFonts w:hint="eastAsia" w:ascii="仿宋" w:hAnsi="仿宋" w:eastAsia="仿宋"/>
          <w:b/>
          <w:bCs/>
        </w:rPr>
        <w:t>（三）有效性评价</w:t>
      </w:r>
      <w:bookmarkEnd w:id="26"/>
    </w:p>
    <w:p>
      <w:pPr>
        <w:snapToGrid w:val="0"/>
        <w:spacing w:line="360" w:lineRule="auto"/>
        <w:ind w:firstLine="544" w:firstLineChars="200"/>
        <w:rPr>
          <w:rStyle w:val="16"/>
          <w:rFonts w:hint="eastAsia"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rPr>
        <w:t>202</w:t>
      </w:r>
      <w:r>
        <w:rPr>
          <w:rStyle w:val="16"/>
          <w:rFonts w:hint="eastAsia" w:ascii="仿宋_GB2312" w:eastAsia="仿宋_GB2312" w:hAnsiTheme="minorEastAsia"/>
          <w:b w:val="0"/>
          <w:spacing w:val="-4"/>
          <w:sz w:val="28"/>
          <w:szCs w:val="28"/>
          <w:lang w:val="en-US" w:eastAsia="zh-CN"/>
        </w:rPr>
        <w:t>1</w:t>
      </w:r>
      <w:r>
        <w:rPr>
          <w:rStyle w:val="16"/>
          <w:rFonts w:hint="eastAsia" w:ascii="仿宋_GB2312" w:eastAsia="仿宋_GB2312" w:hAnsiTheme="minorEastAsia"/>
          <w:b w:val="0"/>
          <w:spacing w:val="-4"/>
          <w:sz w:val="28"/>
          <w:szCs w:val="28"/>
        </w:rPr>
        <w:t>年部门支出的有效性主要体现在我单位各项工作成效上，一是</w:t>
      </w:r>
      <w:r>
        <w:rPr>
          <w:rStyle w:val="16"/>
          <w:rFonts w:hint="eastAsia" w:ascii="仿宋_GB2312" w:eastAsia="仿宋_GB2312" w:hAnsiTheme="minorEastAsia"/>
          <w:b w:val="0"/>
          <w:spacing w:val="-4"/>
          <w:sz w:val="28"/>
          <w:szCs w:val="28"/>
          <w:lang w:val="en-US" w:eastAsia="zh-CN"/>
        </w:rPr>
        <w:t>预算执行</w:t>
      </w:r>
      <w:r>
        <w:rPr>
          <w:rStyle w:val="16"/>
          <w:rFonts w:hint="eastAsia" w:ascii="仿宋_GB2312" w:eastAsia="仿宋_GB2312" w:hAnsiTheme="minorEastAsia"/>
          <w:b w:val="0"/>
          <w:spacing w:val="-4"/>
          <w:sz w:val="28"/>
          <w:szCs w:val="28"/>
        </w:rPr>
        <w:t>进一步夯实，二是</w:t>
      </w:r>
      <w:r>
        <w:rPr>
          <w:rStyle w:val="16"/>
          <w:rFonts w:hint="eastAsia" w:ascii="仿宋_GB2312" w:eastAsia="仿宋_GB2312" w:hAnsiTheme="minorEastAsia"/>
          <w:b w:val="0"/>
          <w:spacing w:val="-4"/>
          <w:sz w:val="28"/>
          <w:szCs w:val="28"/>
          <w:lang w:val="en-US" w:eastAsia="zh-CN"/>
        </w:rPr>
        <w:t>财务业务</w:t>
      </w:r>
      <w:r>
        <w:rPr>
          <w:rStyle w:val="16"/>
          <w:rFonts w:hint="eastAsia" w:ascii="仿宋_GB2312" w:eastAsia="仿宋_GB2312" w:hAnsiTheme="minorEastAsia"/>
          <w:b w:val="0"/>
          <w:spacing w:val="-4"/>
          <w:sz w:val="28"/>
          <w:szCs w:val="28"/>
        </w:rPr>
        <w:t>能力进一步提升，三是</w:t>
      </w:r>
      <w:r>
        <w:rPr>
          <w:rStyle w:val="16"/>
          <w:rFonts w:hint="eastAsia" w:ascii="仿宋_GB2312" w:eastAsia="仿宋_GB2312" w:hAnsiTheme="minorEastAsia"/>
          <w:b w:val="0"/>
          <w:spacing w:val="-4"/>
          <w:sz w:val="28"/>
          <w:szCs w:val="28"/>
          <w:lang w:val="en-US" w:eastAsia="zh-CN"/>
        </w:rPr>
        <w:t>财政监督</w:t>
      </w:r>
      <w:r>
        <w:rPr>
          <w:rStyle w:val="16"/>
          <w:rFonts w:hint="eastAsia" w:ascii="仿宋_GB2312" w:eastAsia="仿宋_GB2312" w:hAnsiTheme="minorEastAsia"/>
          <w:b w:val="0"/>
          <w:spacing w:val="-4"/>
          <w:sz w:val="28"/>
          <w:szCs w:val="28"/>
        </w:rPr>
        <w:t>进一步改善，四是</w:t>
      </w:r>
      <w:r>
        <w:rPr>
          <w:rStyle w:val="16"/>
          <w:rFonts w:hint="eastAsia" w:ascii="仿宋_GB2312" w:eastAsia="仿宋_GB2312" w:hAnsiTheme="minorEastAsia"/>
          <w:b w:val="0"/>
          <w:spacing w:val="-4"/>
          <w:sz w:val="28"/>
          <w:szCs w:val="28"/>
          <w:lang w:val="en-US" w:eastAsia="zh-CN"/>
        </w:rPr>
        <w:t>群众知晓率</w:t>
      </w:r>
      <w:r>
        <w:rPr>
          <w:rStyle w:val="16"/>
          <w:rFonts w:hint="eastAsia" w:ascii="仿宋_GB2312" w:eastAsia="仿宋_GB2312" w:hAnsiTheme="minorEastAsia"/>
          <w:b w:val="0"/>
          <w:spacing w:val="-4"/>
          <w:sz w:val="28"/>
          <w:szCs w:val="28"/>
        </w:rPr>
        <w:t>进一步提高，五是</w:t>
      </w:r>
      <w:r>
        <w:rPr>
          <w:rStyle w:val="16"/>
          <w:rFonts w:hint="eastAsia" w:ascii="仿宋_GB2312" w:eastAsia="仿宋_GB2312" w:hAnsiTheme="minorEastAsia"/>
          <w:b w:val="0"/>
          <w:spacing w:val="-4"/>
          <w:sz w:val="28"/>
          <w:szCs w:val="28"/>
          <w:lang w:val="en-US" w:eastAsia="zh-CN"/>
        </w:rPr>
        <w:t>旅游事业发展</w:t>
      </w:r>
      <w:r>
        <w:rPr>
          <w:rStyle w:val="16"/>
          <w:rFonts w:hint="eastAsia" w:ascii="仿宋_GB2312" w:eastAsia="仿宋_GB2312" w:hAnsiTheme="minorEastAsia"/>
          <w:b w:val="0"/>
          <w:spacing w:val="-4"/>
          <w:sz w:val="28"/>
          <w:szCs w:val="28"/>
        </w:rPr>
        <w:t>进一步推进，七是</w:t>
      </w:r>
      <w:r>
        <w:rPr>
          <w:rStyle w:val="16"/>
          <w:rFonts w:hint="eastAsia" w:ascii="仿宋_GB2312" w:eastAsia="仿宋_GB2312" w:hAnsiTheme="minorEastAsia"/>
          <w:b w:val="0"/>
          <w:spacing w:val="-4"/>
          <w:sz w:val="28"/>
          <w:szCs w:val="28"/>
          <w:lang w:val="en-US" w:eastAsia="zh-CN"/>
        </w:rPr>
        <w:t>环境治理</w:t>
      </w:r>
      <w:r>
        <w:rPr>
          <w:rStyle w:val="16"/>
          <w:rFonts w:hint="eastAsia" w:ascii="仿宋_GB2312" w:eastAsia="仿宋_GB2312" w:hAnsiTheme="minorEastAsia"/>
          <w:b w:val="0"/>
          <w:spacing w:val="-4"/>
          <w:sz w:val="28"/>
          <w:szCs w:val="28"/>
        </w:rPr>
        <w:t>水平进一步增强，详细情况如下：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lang w:val="en-US" w:eastAsia="zh-CN"/>
        </w:rPr>
        <w:t>特克斯县喀拉达拉镇人民政府</w:t>
      </w:r>
      <w:r>
        <w:rPr>
          <w:rStyle w:val="16"/>
          <w:rFonts w:hint="eastAsia" w:ascii="仿宋_GB2312" w:eastAsia="仿宋_GB2312" w:hAnsiTheme="minorEastAsia"/>
          <w:b w:val="0"/>
          <w:spacing w:val="-4"/>
          <w:sz w:val="28"/>
          <w:szCs w:val="28"/>
        </w:rPr>
        <w:t>单位整体绩效目标共设置一级指标</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个，二级指标</w:t>
      </w:r>
      <w:r>
        <w:rPr>
          <w:rStyle w:val="16"/>
          <w:rFonts w:hint="eastAsia" w:ascii="仿宋_GB2312" w:eastAsia="仿宋_GB2312" w:hAnsiTheme="minorEastAsia"/>
          <w:b w:val="0"/>
          <w:spacing w:val="-4"/>
          <w:sz w:val="28"/>
          <w:szCs w:val="28"/>
          <w:lang w:val="en-US" w:eastAsia="zh-CN"/>
        </w:rPr>
        <w:t>7</w:t>
      </w:r>
      <w:r>
        <w:rPr>
          <w:rStyle w:val="16"/>
          <w:rFonts w:hint="eastAsia" w:ascii="仿宋_GB2312" w:eastAsia="仿宋_GB2312" w:hAnsiTheme="minorEastAsia"/>
          <w:b w:val="0"/>
          <w:spacing w:val="-4"/>
          <w:sz w:val="28"/>
          <w:szCs w:val="28"/>
        </w:rPr>
        <w:t>个，三级指标</w:t>
      </w:r>
      <w:r>
        <w:rPr>
          <w:rStyle w:val="16"/>
          <w:rFonts w:hint="eastAsia" w:ascii="仿宋_GB2312" w:eastAsia="仿宋_GB2312" w:hAnsiTheme="minorEastAsia"/>
          <w:b w:val="0"/>
          <w:spacing w:val="-4"/>
          <w:sz w:val="28"/>
          <w:szCs w:val="28"/>
          <w:lang w:val="en-US" w:eastAsia="zh-CN"/>
        </w:rPr>
        <w:t>13</w:t>
      </w:r>
      <w:r>
        <w:rPr>
          <w:rStyle w:val="16"/>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1</w:t>
      </w:r>
      <w:r>
        <w:rPr>
          <w:rStyle w:val="16"/>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指标1：保障性工资发放人数，指标值：≥154人，实际完成值：</w:t>
      </w:r>
      <w:r>
        <w:rPr>
          <w:rStyle w:val="16"/>
          <w:rFonts w:hint="eastAsia" w:ascii="仿宋_GB2312" w:hAnsi="宋体" w:eastAsia="仿宋_GB2312"/>
          <w:b w:val="0"/>
          <w:spacing w:val="-4"/>
          <w:sz w:val="28"/>
          <w:szCs w:val="28"/>
          <w:highlight w:val="none"/>
          <w:lang w:val="en-US" w:eastAsia="zh-CN"/>
        </w:rPr>
        <w:t>154人</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：喀拉达拉镇支出总单位（个），指标值：=10个，实际完成值：</w:t>
      </w:r>
      <w:r>
        <w:rPr>
          <w:rStyle w:val="16"/>
          <w:rFonts w:hint="eastAsia" w:ascii="仿宋_GB2312" w:hAnsi="宋体" w:eastAsia="仿宋_GB2312"/>
          <w:b w:val="0"/>
          <w:spacing w:val="-4"/>
          <w:sz w:val="28"/>
          <w:szCs w:val="28"/>
          <w:highlight w:val="none"/>
          <w:lang w:val="en-US" w:eastAsia="zh-CN"/>
        </w:rPr>
        <w:t>10个</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指标1：全年全镇人员工资及社保错发漏发率，指标值：≤1% ，实际完成值：</w:t>
      </w:r>
      <w:r>
        <w:rPr>
          <w:rStyle w:val="16"/>
          <w:rFonts w:hint="eastAsia" w:ascii="仿宋_GB2312" w:hAnsi="宋体" w:eastAsia="仿宋_GB2312"/>
          <w:b w:val="0"/>
          <w:spacing w:val="-4"/>
          <w:sz w:val="28"/>
          <w:szCs w:val="28"/>
          <w:highlight w:val="none"/>
          <w:lang w:val="en-US" w:eastAsia="zh-CN"/>
        </w:rPr>
        <w:t>0.1%</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：工资及公用经费准确率，指标值：≥99%，实际完成值：</w:t>
      </w:r>
      <w:r>
        <w:rPr>
          <w:rStyle w:val="16"/>
          <w:rFonts w:hint="eastAsia" w:ascii="仿宋_GB2312" w:hAnsi="宋体" w:eastAsia="仿宋_GB2312"/>
          <w:b w:val="0"/>
          <w:spacing w:val="-4"/>
          <w:sz w:val="28"/>
          <w:szCs w:val="28"/>
          <w:highlight w:val="none"/>
          <w:lang w:val="en-US" w:eastAsia="zh-CN"/>
        </w:rPr>
        <w:t>99%</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3</w:t>
      </w:r>
      <w:r>
        <w:rPr>
          <w:rStyle w:val="16"/>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指标1：工资及社保发放及时性，指标值：≥100%，实际完成值：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4</w:t>
      </w:r>
      <w:r>
        <w:rPr>
          <w:rStyle w:val="16"/>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指标1：人均支出标准，指标值：≤9.71万元，实际完成值：</w:t>
      </w:r>
      <w:r>
        <w:rPr>
          <w:rStyle w:val="16"/>
          <w:rFonts w:hint="eastAsia" w:ascii="仿宋_GB2312" w:hAnsi="宋体" w:eastAsia="仿宋_GB2312"/>
          <w:b w:val="0"/>
          <w:spacing w:val="-4"/>
          <w:sz w:val="28"/>
          <w:szCs w:val="28"/>
          <w:highlight w:val="none"/>
          <w:lang w:val="en-US" w:eastAsia="zh-CN"/>
        </w:rPr>
        <w:t>9.71</w:t>
      </w:r>
      <w:r>
        <w:rPr>
          <w:rStyle w:val="16"/>
          <w:rFonts w:hint="eastAsia" w:ascii="仿宋_GB2312" w:hAnsi="宋体" w:eastAsia="仿宋_GB2312"/>
          <w:b w:val="0"/>
          <w:spacing w:val="-4"/>
          <w:sz w:val="28"/>
          <w:szCs w:val="28"/>
          <w:highlight w:val="none"/>
        </w:rPr>
        <w:t>万元，指标完成率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：人均运转经费数，指标值≤1.3万元，实际完成值：</w:t>
      </w:r>
      <w:r>
        <w:rPr>
          <w:rStyle w:val="16"/>
          <w:rFonts w:hint="eastAsia" w:ascii="仿宋_GB2312" w:hAnsi="宋体" w:eastAsia="仿宋_GB2312"/>
          <w:b w:val="0"/>
          <w:spacing w:val="-4"/>
          <w:sz w:val="28"/>
          <w:szCs w:val="28"/>
          <w:highlight w:val="none"/>
          <w:lang w:val="en-US" w:eastAsia="zh-CN"/>
        </w:rPr>
        <w:t>1.30</w:t>
      </w:r>
      <w:r>
        <w:rPr>
          <w:rStyle w:val="16"/>
          <w:rFonts w:hint="eastAsia" w:ascii="仿宋_GB2312" w:hAnsi="宋体" w:eastAsia="仿宋_GB2312"/>
          <w:b w:val="0"/>
          <w:spacing w:val="-4"/>
          <w:sz w:val="28"/>
          <w:szCs w:val="28"/>
          <w:highlight w:val="none"/>
        </w:rPr>
        <w:t>万元，指标完成率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5</w:t>
      </w:r>
      <w:r>
        <w:rPr>
          <w:rStyle w:val="16"/>
          <w:rFonts w:hint="eastAsia" w:ascii="仿宋_GB2312" w:hAnsi="宋体" w:eastAsia="仿宋_GB2312"/>
          <w:b w:val="0"/>
          <w:spacing w:val="-4"/>
          <w:sz w:val="28"/>
          <w:szCs w:val="28"/>
          <w:highlight w:val="none"/>
        </w:rPr>
        <w:t>、经济效益指标：</w:t>
      </w:r>
    </w:p>
    <w:p>
      <w:pPr>
        <w:snapToGrid w:val="0"/>
        <w:spacing w:line="360" w:lineRule="auto"/>
        <w:ind w:firstLine="544" w:firstLineChars="200"/>
        <w:rPr>
          <w:rStyle w:val="16"/>
          <w:rFonts w:hint="eastAsia" w:ascii="仿宋_GB2312" w:hAnsi="宋体" w:eastAsia="仿宋_GB2312"/>
          <w:b w:val="0"/>
          <w:spacing w:val="-4"/>
          <w:sz w:val="28"/>
          <w:szCs w:val="28"/>
          <w:highlight w:val="none"/>
          <w:lang w:eastAsia="zh-CN"/>
        </w:rPr>
      </w:pPr>
      <w:r>
        <w:rPr>
          <w:rStyle w:val="16"/>
          <w:rFonts w:hint="eastAsia" w:ascii="仿宋_GB2312" w:hAnsi="宋体" w:eastAsia="仿宋_GB2312"/>
          <w:b w:val="0"/>
          <w:spacing w:val="-4"/>
          <w:sz w:val="28"/>
          <w:szCs w:val="28"/>
          <w:highlight w:val="none"/>
        </w:rPr>
        <w:t>指标1：带动当地居民增加年收入额（元），指标值：≥300元，实际完成值：</w:t>
      </w:r>
      <w:r>
        <w:rPr>
          <w:rStyle w:val="16"/>
          <w:rFonts w:hint="eastAsia" w:ascii="仿宋_GB2312" w:hAnsi="宋体" w:eastAsia="仿宋_GB2312"/>
          <w:b w:val="0"/>
          <w:spacing w:val="-4"/>
          <w:sz w:val="28"/>
          <w:szCs w:val="28"/>
          <w:highlight w:val="none"/>
          <w:lang w:val="en-US" w:eastAsia="zh-CN"/>
        </w:rPr>
        <w:t>300</w:t>
      </w:r>
      <w:r>
        <w:rPr>
          <w:rStyle w:val="16"/>
          <w:rFonts w:hint="eastAsia" w:ascii="仿宋_GB2312" w:hAnsi="宋体" w:eastAsia="仿宋_GB2312"/>
          <w:b w:val="0"/>
          <w:spacing w:val="-4"/>
          <w:sz w:val="28"/>
          <w:szCs w:val="28"/>
          <w:highlight w:val="none"/>
        </w:rPr>
        <w:t>元，指标完成率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6</w:t>
      </w:r>
      <w:r>
        <w:rPr>
          <w:rStyle w:val="16"/>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指标1：提供公共服务水平，指标值：有效提升 ，实际完成值：有效提升，指标完成率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：扩大辖区绿化面积，指标值：≥10% ，实际完成值：</w:t>
      </w:r>
      <w:r>
        <w:rPr>
          <w:rStyle w:val="16"/>
          <w:rFonts w:hint="eastAsia" w:ascii="仿宋_GB2312" w:hAnsi="宋体" w:eastAsia="仿宋_GB2312"/>
          <w:b w:val="0"/>
          <w:spacing w:val="-4"/>
          <w:sz w:val="28"/>
          <w:szCs w:val="28"/>
          <w:highlight w:val="none"/>
          <w:lang w:val="en-US" w:eastAsia="zh-CN"/>
        </w:rPr>
        <w:t>10%</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default" w:ascii="仿宋_GB2312" w:hAnsi="宋体" w:eastAsia="仿宋_GB2312"/>
          <w:b w:val="0"/>
          <w:spacing w:val="-4"/>
          <w:sz w:val="28"/>
          <w:szCs w:val="28"/>
          <w:highlight w:val="none"/>
          <w:lang w:val="en-US" w:eastAsia="zh-CN"/>
        </w:rPr>
      </w:pPr>
      <w:r>
        <w:rPr>
          <w:rStyle w:val="16"/>
          <w:rFonts w:hint="eastAsia" w:ascii="仿宋_GB2312" w:hAnsi="宋体" w:eastAsia="仿宋_GB2312"/>
          <w:b w:val="0"/>
          <w:spacing w:val="-4"/>
          <w:sz w:val="28"/>
          <w:szCs w:val="28"/>
          <w:highlight w:val="none"/>
          <w:lang w:val="en-US" w:eastAsia="zh-CN"/>
        </w:rPr>
        <w:t>指标3：垃圾清理批次有所提高，指标值：≥15%，实际完成值：15%；</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7</w:t>
      </w:r>
      <w:r>
        <w:rPr>
          <w:rStyle w:val="16"/>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指标1：辖区群众满意度，指标值</w:t>
      </w: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rPr>
        <w:t>≥95%，实际完成值：</w:t>
      </w:r>
      <w:r>
        <w:rPr>
          <w:rStyle w:val="16"/>
          <w:rFonts w:hint="eastAsia" w:ascii="仿宋_GB2312" w:hAnsi="宋体" w:eastAsia="仿宋_GB2312"/>
          <w:b w:val="0"/>
          <w:spacing w:val="-4"/>
          <w:sz w:val="28"/>
          <w:szCs w:val="28"/>
          <w:highlight w:val="none"/>
          <w:lang w:val="en-US" w:eastAsia="zh-CN"/>
        </w:rPr>
        <w:t>95%</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bCs w:val="0"/>
          <w:color w:val="FF0000"/>
          <w:spacing w:val="-4"/>
          <w:sz w:val="28"/>
          <w:szCs w:val="28"/>
          <w:highlight w:val="none"/>
          <w:lang w:eastAsia="zh-CN"/>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：来往游客满意度，指标值：≥97%，实际完成值：9</w:t>
      </w:r>
      <w:r>
        <w:rPr>
          <w:rStyle w:val="16"/>
          <w:rFonts w:hint="eastAsia" w:ascii="仿宋_GB2312" w:hAnsi="宋体" w:eastAsia="仿宋_GB2312"/>
          <w:b w:val="0"/>
          <w:spacing w:val="-4"/>
          <w:sz w:val="28"/>
          <w:szCs w:val="28"/>
          <w:highlight w:val="none"/>
          <w:lang w:val="en-US" w:eastAsia="zh-CN"/>
        </w:rPr>
        <w:t>7</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w:t>
      </w:r>
    </w:p>
    <w:p>
      <w:pPr>
        <w:pStyle w:val="3"/>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(一)预算执行存在偏差</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29"/>
        <w:numPr>
          <w:ilvl w:val="0"/>
          <w:numId w:val="1"/>
        </w:numPr>
        <w:spacing w:line="560" w:lineRule="exact"/>
        <w:ind w:firstLine="530" w:firstLineChars="195"/>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项目细化管理工作不足。在执行过程中，部分资金的使用范围并不能把握到位，造成项目遇到各种不确定因素，财政资金无法发挥最大使用效益。</w:t>
      </w:r>
    </w:p>
    <w:p>
      <w:pPr>
        <w:pStyle w:val="29"/>
        <w:spacing w:line="560" w:lineRule="exact"/>
        <w:ind w:firstLine="544" w:firstLineChars="200"/>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三）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（四）固定资产管理水平有待提高</w:t>
      </w:r>
    </w:p>
    <w:p>
      <w:pPr>
        <w:pStyle w:val="12"/>
        <w:widowControl/>
        <w:spacing w:before="40" w:beforeAutospacing="0" w:after="0" w:afterAutospacing="0" w:line="520" w:lineRule="atLeast"/>
        <w:ind w:firstLine="520"/>
        <w:jc w:val="both"/>
        <w:rPr>
          <w:lang w:bidi="ar"/>
        </w:rPr>
      </w:pPr>
      <w:r>
        <w:rPr>
          <w:rStyle w:val="16"/>
          <w:rFonts w:hint="eastAsia" w:ascii="仿宋_GB2312" w:hAnsi="宋体" w:eastAsia="仿宋_GB2312" w:cstheme="minorBidi"/>
          <w:b w:val="0"/>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3"/>
        <w:spacing w:line="360" w:lineRule="auto"/>
        <w:rPr>
          <w:lang w:bidi="ar"/>
        </w:rPr>
      </w:pPr>
      <w:bookmarkStart w:id="28" w:name="_Toc70450318"/>
      <w:r>
        <w:rPr>
          <w:rFonts w:hint="eastAsia" w:ascii="仿宋" w:hAnsi="仿宋" w:eastAsia="仿宋"/>
          <w:sz w:val="36"/>
          <w:szCs w:val="36"/>
          <w:lang w:bidi="ar"/>
        </w:rPr>
        <w:t>七、改进措施和建议</w:t>
      </w:r>
      <w:bookmarkEnd w:id="28"/>
    </w:p>
    <w:p>
      <w:pPr>
        <w:pStyle w:val="4"/>
        <w:spacing w:line="360" w:lineRule="auto"/>
        <w:rPr>
          <w:rStyle w:val="16"/>
          <w:rFonts w:ascii="仿宋" w:hAnsi="仿宋" w:eastAsia="仿宋"/>
          <w:b/>
          <w:bCs/>
        </w:rPr>
      </w:pPr>
      <w:bookmarkStart w:id="29" w:name="_Toc70450319"/>
      <w:r>
        <w:rPr>
          <w:rStyle w:val="16"/>
          <w:rFonts w:hint="eastAsia" w:ascii="仿宋" w:hAnsi="仿宋" w:eastAsia="仿宋"/>
          <w:b/>
          <w:bCs/>
        </w:rPr>
        <w:t>（一）改进措施</w:t>
      </w:r>
      <w:bookmarkEnd w:id="29"/>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1.加强新行政单位会计制度和新预算法学习培训、规范账务处理，加强新《预算法》、《行政单位会计制度》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2.完善管理制度,进-步加强资产管理。严格按照《固定资产管理办法》的规定，加强固定资产管理,及时登记、更新台账，加强资产卡片管理,对各类实物资产进行全面盘点,确保账账、账实相符。</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3.加强学习。进一步明确如何参照考核体系，科学合理设定绩效目标，充分发挥预算绩效管理工作效用。</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4.财务上，会计核算要更加详细，为本单位各项工作的开展、总结、评估提供有效数据资料支撑,为各项业务工作更好的开展提供帮助。</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5.从源头上强化对专项资金预算管理。实行专项资金预算管理，结合单位实际, 按轻重缓急统筹安排编制预算,提高预算编制科学性和合理性,优化资金结构。</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6.按时间进度分解资金使用计划。专项资金的使用，要事前做计划，事中进行控制，事后总结提高。合理安排资金使用,充分体现资金投向的目标和效益。</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7.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4"/>
        <w:spacing w:line="360" w:lineRule="auto"/>
        <w:rPr>
          <w:rStyle w:val="16"/>
          <w:rFonts w:hint="eastAsia" w:ascii="仿宋" w:hAnsi="仿宋" w:eastAsia="仿宋"/>
          <w:b/>
          <w:bCs/>
        </w:rPr>
      </w:pPr>
      <w:bookmarkStart w:id="30" w:name="_Toc70450320"/>
      <w:r>
        <w:rPr>
          <w:rStyle w:val="16"/>
          <w:rFonts w:hint="eastAsia" w:ascii="仿宋" w:hAnsi="仿宋" w:eastAsia="仿宋"/>
          <w:b/>
          <w:bCs/>
        </w:rPr>
        <w:t>（二）建议</w:t>
      </w:r>
      <w:bookmarkEnd w:id="30"/>
    </w:p>
    <w:p>
      <w:pPr>
        <w:ind w:firstLine="544" w:firstLineChars="200"/>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1.2022年支付，做到专款专用，尤其是授权支付指标。</w:t>
      </w:r>
    </w:p>
    <w:p>
      <w:pPr>
        <w:ind w:firstLine="544" w:firstLineChars="200"/>
        <w:rPr>
          <w:rStyle w:val="16"/>
          <w:rFonts w:hint="default"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2.加强项目开展进度的跟踪，开展项目绩效评价，确保项目绩效目标的完成。</w:t>
      </w:r>
    </w:p>
    <w:p>
      <w:pPr>
        <w:pStyle w:val="3"/>
        <w:spacing w:line="360" w:lineRule="auto"/>
        <w:rPr>
          <w:rStyle w:val="16"/>
          <w:rFonts w:ascii="仿宋" w:hAnsi="仿宋" w:eastAsia="仿宋"/>
          <w:b/>
          <w:bCs/>
          <w:sz w:val="36"/>
          <w:szCs w:val="36"/>
        </w:rPr>
      </w:pPr>
      <w:bookmarkStart w:id="31"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tbl>
      <w:tblPr>
        <w:tblStyle w:val="14"/>
        <w:tblW w:w="10365" w:type="dxa"/>
        <w:tblInd w:w="-906" w:type="dxa"/>
        <w:tblLayout w:type="fixed"/>
        <w:tblCellMar>
          <w:top w:w="0" w:type="dxa"/>
          <w:left w:w="108" w:type="dxa"/>
          <w:bottom w:w="0" w:type="dxa"/>
          <w:right w:w="108" w:type="dxa"/>
        </w:tblCellMar>
      </w:tblPr>
      <w:tblGrid>
        <w:gridCol w:w="495"/>
        <w:gridCol w:w="660"/>
        <w:gridCol w:w="240"/>
        <w:gridCol w:w="1680"/>
        <w:gridCol w:w="1125"/>
        <w:gridCol w:w="1125"/>
        <w:gridCol w:w="1170"/>
        <w:gridCol w:w="1275"/>
        <w:gridCol w:w="1335"/>
        <w:gridCol w:w="1260"/>
      </w:tblGrid>
      <w:tr>
        <w:tblPrEx>
          <w:tblLayout w:type="fixed"/>
          <w:tblCellMar>
            <w:top w:w="0" w:type="dxa"/>
            <w:left w:w="108" w:type="dxa"/>
            <w:bottom w:w="0" w:type="dxa"/>
            <w:right w:w="108" w:type="dxa"/>
          </w:tblCellMar>
        </w:tblPrEx>
        <w:trPr>
          <w:trHeight w:val="405" w:hRule="atLeast"/>
        </w:trPr>
        <w:tc>
          <w:tcPr>
            <w:tcW w:w="10365" w:type="dxa"/>
            <w:gridSpan w:val="10"/>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rPr>
            </w:pPr>
          </w:p>
          <w:p>
            <w:pPr>
              <w:widowControl/>
              <w:spacing w:line="640" w:lineRule="exact"/>
              <w:jc w:val="center"/>
              <w:rPr>
                <w:rFonts w:hint="eastAsia" w:ascii="方正小标宋_GBK" w:hAnsi="宋体" w:eastAsia="方正小标宋_GBK" w:cs="宋体"/>
                <w:kern w:val="0"/>
                <w:sz w:val="44"/>
                <w:szCs w:val="44"/>
              </w:rPr>
            </w:pPr>
          </w:p>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Layout w:type="fixed"/>
          <w:tblCellMar>
            <w:top w:w="0" w:type="dxa"/>
            <w:left w:w="108" w:type="dxa"/>
            <w:bottom w:w="0" w:type="dxa"/>
            <w:right w:w="108" w:type="dxa"/>
          </w:tblCellMar>
        </w:tblPrEx>
        <w:trPr>
          <w:trHeight w:val="285" w:hRule="atLeast"/>
        </w:trPr>
        <w:tc>
          <w:tcPr>
            <w:tcW w:w="10365" w:type="dxa"/>
            <w:gridSpan w:val="10"/>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hint="eastAsia" w:ascii="Times New Roman" w:hAnsi="Times New Roman" w:eastAsia="宋体" w:cs="Times New Roman"/>
                <w:kern w:val="0"/>
                <w:sz w:val="24"/>
                <w:lang w:val="en-US" w:eastAsia="zh-CN"/>
              </w:rPr>
              <w:t>2021</w:t>
            </w:r>
            <w:r>
              <w:rPr>
                <w:rFonts w:hint="eastAsia" w:ascii="宋体" w:hAnsi="宋体" w:eastAsia="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495" w:type="dxa"/>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660" w:type="dxa"/>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240" w:type="dxa"/>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1680" w:type="dxa"/>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1125" w:type="dxa"/>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1125" w:type="dxa"/>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1170" w:type="dxa"/>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1275" w:type="dxa"/>
            <w:tcBorders>
              <w:top w:val="nil"/>
              <w:left w:val="nil"/>
              <w:bottom w:val="nil"/>
              <w:right w:val="nil"/>
            </w:tcBorders>
            <w:shd w:val="clear" w:color="auto" w:fill="auto"/>
            <w:vAlign w:val="center"/>
          </w:tcPr>
          <w:p>
            <w:pPr>
              <w:widowControl/>
              <w:jc w:val="left"/>
              <w:rPr>
                <w:rFonts w:ascii="宋体" w:hAnsi="宋体" w:eastAsia="宋体" w:cs="宋体"/>
                <w:kern w:val="0"/>
                <w:sz w:val="24"/>
              </w:rPr>
            </w:pPr>
          </w:p>
        </w:tc>
        <w:tc>
          <w:tcPr>
            <w:tcW w:w="1335" w:type="dxa"/>
            <w:tcBorders>
              <w:top w:val="nil"/>
              <w:left w:val="nil"/>
              <w:bottom w:val="nil"/>
              <w:right w:val="nil"/>
            </w:tcBorders>
            <w:shd w:val="clear" w:color="auto" w:fill="auto"/>
            <w:vAlign w:val="center"/>
          </w:tcPr>
          <w:p>
            <w:pPr>
              <w:widowControl/>
              <w:jc w:val="left"/>
              <w:rPr>
                <w:rFonts w:ascii="宋体" w:hAnsi="宋体" w:eastAsia="宋体" w:cs="宋体"/>
                <w:color w:val="000000"/>
                <w:kern w:val="0"/>
                <w:sz w:val="22"/>
                <w:szCs w:val="22"/>
              </w:rPr>
            </w:pPr>
          </w:p>
        </w:tc>
        <w:tc>
          <w:tcPr>
            <w:tcW w:w="1260" w:type="dxa"/>
            <w:tcBorders>
              <w:top w:val="nil"/>
              <w:left w:val="nil"/>
              <w:bottom w:val="nil"/>
              <w:right w:val="nil"/>
            </w:tcBorders>
            <w:shd w:val="clear" w:color="auto" w:fill="auto"/>
            <w:vAlign w:val="center"/>
          </w:tcPr>
          <w:p>
            <w:pPr>
              <w:widowControl/>
              <w:jc w:val="left"/>
              <w:rPr>
                <w:rFonts w:ascii="宋体" w:hAnsi="宋体" w:eastAsia="宋体" w:cs="宋体"/>
                <w:color w:val="000000"/>
                <w:kern w:val="0"/>
                <w:sz w:val="22"/>
                <w:szCs w:val="22"/>
              </w:rPr>
            </w:pPr>
          </w:p>
        </w:tc>
      </w:tr>
      <w:tr>
        <w:tblPrEx>
          <w:tblLayout w:type="fixed"/>
          <w:tblCellMar>
            <w:top w:w="0" w:type="dxa"/>
            <w:left w:w="108" w:type="dxa"/>
            <w:bottom w:w="0" w:type="dxa"/>
            <w:right w:w="108" w:type="dxa"/>
          </w:tblCellMar>
        </w:tblPrEx>
        <w:trPr>
          <w:trHeight w:val="285" w:hRule="atLeast"/>
        </w:trPr>
        <w:tc>
          <w:tcPr>
            <w:tcW w:w="139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部门名称</w:t>
            </w:r>
          </w:p>
        </w:tc>
        <w:tc>
          <w:tcPr>
            <w:tcW w:w="897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特克斯县喀拉达拉镇人民政府　</w:t>
            </w:r>
          </w:p>
        </w:tc>
      </w:tr>
      <w:tr>
        <w:tblPrEx>
          <w:tblLayout w:type="fixed"/>
          <w:tblCellMar>
            <w:top w:w="0" w:type="dxa"/>
            <w:left w:w="108" w:type="dxa"/>
            <w:bottom w:w="0" w:type="dxa"/>
            <w:right w:w="108" w:type="dxa"/>
          </w:tblCellMar>
        </w:tblPrEx>
        <w:trPr>
          <w:trHeight w:val="285" w:hRule="atLeast"/>
        </w:trPr>
        <w:tc>
          <w:tcPr>
            <w:tcW w:w="49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主要</w:t>
            </w:r>
            <w:r>
              <w:rPr>
                <w:rFonts w:hint="eastAsia" w:ascii="宋体" w:hAnsi="宋体" w:eastAsia="宋体" w:cs="宋体"/>
                <w:kern w:val="0"/>
                <w:sz w:val="24"/>
              </w:rPr>
              <w:br w:type="textWrapping"/>
            </w:r>
            <w:r>
              <w:rPr>
                <w:rFonts w:hint="eastAsia" w:ascii="宋体" w:hAnsi="宋体" w:eastAsia="宋体" w:cs="宋体"/>
                <w:kern w:val="0"/>
                <w:sz w:val="24"/>
              </w:rPr>
              <w:t>任务</w:t>
            </w:r>
          </w:p>
        </w:tc>
        <w:tc>
          <w:tcPr>
            <w:tcW w:w="90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任务名称</w:t>
            </w:r>
          </w:p>
        </w:tc>
        <w:tc>
          <w:tcPr>
            <w:tcW w:w="16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主要内容</w:t>
            </w:r>
          </w:p>
        </w:tc>
        <w:tc>
          <w:tcPr>
            <w:tcW w:w="34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预算金额（万元）</w:t>
            </w:r>
          </w:p>
        </w:tc>
        <w:tc>
          <w:tcPr>
            <w:tcW w:w="387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实际执行（万元）</w:t>
            </w:r>
          </w:p>
        </w:tc>
      </w:tr>
      <w:tr>
        <w:tblPrEx>
          <w:tblLayout w:type="fixed"/>
          <w:tblCellMar>
            <w:top w:w="0" w:type="dxa"/>
            <w:left w:w="108" w:type="dxa"/>
            <w:bottom w:w="0" w:type="dxa"/>
            <w:right w:w="108" w:type="dxa"/>
          </w:tblCellMar>
        </w:tblPrEx>
        <w:trPr>
          <w:trHeight w:val="285"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0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6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117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13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r>
      <w:tr>
        <w:tblPrEx>
          <w:tblLayout w:type="fixed"/>
          <w:tblCellMar>
            <w:top w:w="0" w:type="dxa"/>
            <w:left w:w="108" w:type="dxa"/>
            <w:bottom w:w="0" w:type="dxa"/>
            <w:right w:w="108" w:type="dxa"/>
          </w:tblCellMar>
        </w:tblPrEx>
        <w:trPr>
          <w:trHeight w:val="1959"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00" w:type="dxa"/>
            <w:gridSpan w:val="2"/>
            <w:tcBorders>
              <w:top w:val="single" w:color="auto" w:sz="4" w:space="0"/>
              <w:left w:val="nil"/>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lang w:eastAsia="zh-CN"/>
              </w:rPr>
            </w:pPr>
            <w:r>
              <w:rPr>
                <w:rFonts w:hint="eastAsia" w:ascii="宋体" w:hAnsi="宋体" w:eastAsia="宋体" w:cs="宋体"/>
                <w:kern w:val="0"/>
                <w:sz w:val="21"/>
                <w:szCs w:val="21"/>
                <w:lang w:val="en-US" w:eastAsia="zh-CN"/>
              </w:rPr>
              <w:t>人员保障</w:t>
            </w:r>
          </w:p>
        </w:tc>
        <w:tc>
          <w:tcPr>
            <w:tcW w:w="1680" w:type="dxa"/>
            <w:tcBorders>
              <w:top w:val="nil"/>
              <w:left w:val="nil"/>
              <w:bottom w:val="single" w:color="000000"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1"/>
                <w:szCs w:val="21"/>
                <w:lang w:val="en-US" w:eastAsia="zh-CN"/>
              </w:rPr>
              <w:t>保障单位职工工资、津补贴、社保等人员类支出</w:t>
            </w:r>
          </w:p>
        </w:tc>
        <w:tc>
          <w:tcPr>
            <w:tcW w:w="1125"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1499.77</w:t>
            </w:r>
          </w:p>
        </w:tc>
        <w:tc>
          <w:tcPr>
            <w:tcW w:w="1125"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val="en-US" w:eastAsia="zh-CN"/>
              </w:rPr>
              <w:t>1499.77</w:t>
            </w:r>
          </w:p>
        </w:tc>
        <w:tc>
          <w:tcPr>
            <w:tcW w:w="1170" w:type="dxa"/>
            <w:tcBorders>
              <w:top w:val="nil"/>
              <w:left w:val="nil"/>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1499.77</w:t>
            </w:r>
          </w:p>
        </w:tc>
        <w:tc>
          <w:tcPr>
            <w:tcW w:w="133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1499.77</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r>
      <w:tr>
        <w:tblPrEx>
          <w:tblLayout w:type="fixed"/>
          <w:tblCellMar>
            <w:top w:w="0" w:type="dxa"/>
            <w:left w:w="108" w:type="dxa"/>
            <w:bottom w:w="0" w:type="dxa"/>
            <w:right w:w="108" w:type="dxa"/>
          </w:tblCellMar>
        </w:tblPrEx>
        <w:trPr>
          <w:trHeight w:val="540" w:hRule="atLeast"/>
        </w:trPr>
        <w:tc>
          <w:tcPr>
            <w:tcW w:w="495" w:type="dxa"/>
            <w:vMerge w:val="continue"/>
            <w:tcBorders>
              <w:top w:val="nil"/>
              <w:left w:val="single" w:color="auto" w:sz="4" w:space="0"/>
              <w:bottom w:val="single" w:color="auto" w:sz="4" w:space="0"/>
              <w:right w:val="single" w:color="000000" w:sz="4" w:space="0"/>
            </w:tcBorders>
            <w:vAlign w:val="center"/>
          </w:tcPr>
          <w:p>
            <w:pPr>
              <w:widowControl/>
              <w:jc w:val="left"/>
              <w:rPr>
                <w:rFonts w:ascii="宋体" w:hAnsi="宋体" w:eastAsia="宋体" w:cs="宋体"/>
                <w:kern w:val="0"/>
                <w:sz w:val="24"/>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lang w:eastAsia="zh-CN"/>
              </w:rPr>
            </w:pPr>
            <w:r>
              <w:rPr>
                <w:rFonts w:hint="eastAsia" w:ascii="宋体" w:hAnsi="宋体" w:eastAsia="宋体" w:cs="宋体"/>
                <w:kern w:val="0"/>
                <w:sz w:val="21"/>
                <w:szCs w:val="21"/>
                <w:lang w:val="en-US" w:eastAsia="zh-CN"/>
              </w:rPr>
              <w:t>运转保障</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1"/>
                <w:szCs w:val="21"/>
                <w:lang w:val="en-US" w:eastAsia="zh-CN"/>
              </w:rPr>
              <w:t>保障政府及各站所日常经费等商品服务类支出</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208.20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208.20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c>
          <w:tcPr>
            <w:tcW w:w="1275" w:type="dxa"/>
            <w:tcBorders>
              <w:top w:val="nil"/>
              <w:left w:val="single" w:color="000000"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208.20</w:t>
            </w:r>
          </w:p>
        </w:tc>
        <w:tc>
          <w:tcPr>
            <w:tcW w:w="133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208.20</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r>
      <w:tr>
        <w:tblPrEx>
          <w:tblLayout w:type="fixed"/>
          <w:tblCellMar>
            <w:top w:w="0" w:type="dxa"/>
            <w:left w:w="108" w:type="dxa"/>
            <w:bottom w:w="0" w:type="dxa"/>
            <w:right w:w="108" w:type="dxa"/>
          </w:tblCellMar>
        </w:tblPrEx>
        <w:trPr>
          <w:trHeight w:val="285" w:hRule="atLeast"/>
        </w:trPr>
        <w:tc>
          <w:tcPr>
            <w:tcW w:w="495" w:type="dxa"/>
            <w:vMerge w:val="continue"/>
            <w:tcBorders>
              <w:top w:val="nil"/>
              <w:left w:val="single" w:color="auto" w:sz="4" w:space="0"/>
              <w:bottom w:val="single" w:color="auto" w:sz="4" w:space="0"/>
              <w:right w:val="single" w:color="000000" w:sz="4" w:space="0"/>
            </w:tcBorders>
            <w:vAlign w:val="center"/>
          </w:tcPr>
          <w:p>
            <w:pPr>
              <w:widowControl/>
              <w:jc w:val="left"/>
              <w:rPr>
                <w:rFonts w:ascii="宋体" w:hAnsi="宋体" w:eastAsia="宋体" w:cs="宋体"/>
                <w:kern w:val="0"/>
                <w:sz w:val="24"/>
              </w:rPr>
            </w:pPr>
          </w:p>
        </w:tc>
        <w:tc>
          <w:tcPr>
            <w:tcW w:w="25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金额合计</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1707.97</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1707.97</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c>
          <w:tcPr>
            <w:tcW w:w="1275" w:type="dxa"/>
            <w:tcBorders>
              <w:top w:val="nil"/>
              <w:left w:val="single" w:color="000000"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1707.97</w:t>
            </w:r>
          </w:p>
        </w:tc>
        <w:tc>
          <w:tcPr>
            <w:tcW w:w="133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1707.97</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0</w:t>
            </w:r>
          </w:p>
        </w:tc>
      </w:tr>
      <w:tr>
        <w:tblPrEx>
          <w:tblLayout w:type="fixed"/>
          <w:tblCellMar>
            <w:top w:w="0" w:type="dxa"/>
            <w:left w:w="108" w:type="dxa"/>
            <w:bottom w:w="0" w:type="dxa"/>
            <w:right w:w="108" w:type="dxa"/>
          </w:tblCellMar>
        </w:tblPrEx>
        <w:trPr>
          <w:trHeight w:val="285" w:hRule="atLeast"/>
        </w:trPr>
        <w:tc>
          <w:tcPr>
            <w:tcW w:w="49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3705" w:type="dxa"/>
            <w:gridSpan w:val="4"/>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预期目标</w:t>
            </w:r>
          </w:p>
        </w:tc>
        <w:tc>
          <w:tcPr>
            <w:tcW w:w="6165"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实际完成目标</w:t>
            </w:r>
          </w:p>
        </w:tc>
      </w:tr>
      <w:tr>
        <w:tblPrEx>
          <w:tblLayout w:type="fixed"/>
          <w:tblCellMar>
            <w:top w:w="0" w:type="dxa"/>
            <w:left w:w="108" w:type="dxa"/>
            <w:bottom w:w="0" w:type="dxa"/>
            <w:right w:w="108" w:type="dxa"/>
          </w:tblCellMar>
        </w:tblPrEx>
        <w:trPr>
          <w:trHeight w:val="2070" w:hRule="atLeast"/>
        </w:trPr>
        <w:tc>
          <w:tcPr>
            <w:tcW w:w="49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总体</w:t>
            </w:r>
            <w:r>
              <w:rPr>
                <w:rFonts w:hint="eastAsia" w:ascii="宋体" w:hAnsi="宋体" w:eastAsia="宋体" w:cs="宋体"/>
                <w:kern w:val="0"/>
                <w:sz w:val="24"/>
              </w:rPr>
              <w:br w:type="textWrapping"/>
            </w:r>
            <w:r>
              <w:rPr>
                <w:rFonts w:hint="eastAsia" w:ascii="宋体" w:hAnsi="宋体" w:eastAsia="宋体" w:cs="宋体"/>
                <w:kern w:val="0"/>
                <w:sz w:val="24"/>
              </w:rPr>
              <w:t>目标</w:t>
            </w:r>
          </w:p>
        </w:tc>
        <w:tc>
          <w:tcPr>
            <w:tcW w:w="3705" w:type="dxa"/>
            <w:gridSpan w:val="4"/>
            <w:tcBorders>
              <w:top w:val="single" w:color="auto" w:sz="4" w:space="0"/>
              <w:left w:val="nil"/>
              <w:bottom w:val="single" w:color="auto" w:sz="4" w:space="0"/>
              <w:right w:val="single" w:color="auto" w:sz="4" w:space="0"/>
            </w:tcBorders>
            <w:shd w:val="clear" w:color="auto" w:fill="auto"/>
          </w:tcPr>
          <w:p>
            <w:pPr>
              <w:widowControl/>
              <w:jc w:val="left"/>
              <w:rPr>
                <w:rFonts w:ascii="宋体" w:hAnsi="宋体" w:eastAsia="宋体" w:cs="宋体"/>
                <w:kern w:val="0"/>
                <w:sz w:val="24"/>
              </w:rPr>
            </w:pPr>
            <w:r>
              <w:rPr>
                <w:rFonts w:hint="eastAsia" w:ascii="宋体" w:hAnsi="宋体" w:eastAsia="宋体" w:cs="宋体"/>
                <w:kern w:val="0"/>
                <w:sz w:val="24"/>
              </w:rPr>
              <w:t>目标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 目标2：保证单位财政供养人员基本工资、津贴补贴、艰边补助预算的收支，保证单位工作正常开展和各项任务顺利完成。</w:t>
            </w:r>
          </w:p>
        </w:tc>
        <w:tc>
          <w:tcPr>
            <w:tcW w:w="6165"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24"/>
              </w:rPr>
            </w:pPr>
            <w:r>
              <w:rPr>
                <w:rFonts w:hint="eastAsia" w:ascii="宋体" w:hAnsi="宋体" w:eastAsia="宋体" w:cs="宋体"/>
                <w:kern w:val="0"/>
                <w:sz w:val="24"/>
              </w:rPr>
              <w:t>目标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 目标2：保证单位财政供养人员基本工资、津贴补贴、艰边补助预算的收支，保证单位工作正常开展和各项任务顺利完成。</w:t>
            </w:r>
          </w:p>
        </w:tc>
      </w:tr>
      <w:tr>
        <w:tblPrEx>
          <w:tblLayout w:type="fixed"/>
          <w:tblCellMar>
            <w:top w:w="0" w:type="dxa"/>
            <w:left w:w="108" w:type="dxa"/>
            <w:bottom w:w="0" w:type="dxa"/>
            <w:right w:w="108" w:type="dxa"/>
          </w:tblCellMar>
        </w:tblPrEx>
        <w:trPr>
          <w:trHeight w:val="885" w:hRule="atLeast"/>
        </w:trPr>
        <w:tc>
          <w:tcPr>
            <w:tcW w:w="49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w:t>
            </w:r>
            <w:r>
              <w:rPr>
                <w:rFonts w:hint="eastAsia" w:ascii="宋体" w:hAnsi="宋体" w:eastAsia="宋体" w:cs="宋体"/>
                <w:kern w:val="0"/>
                <w:sz w:val="24"/>
              </w:rPr>
              <w:br w:type="textWrapping"/>
            </w:r>
            <w:r>
              <w:rPr>
                <w:rFonts w:hint="eastAsia" w:ascii="宋体" w:hAnsi="宋体" w:eastAsia="宋体" w:cs="宋体"/>
                <w:kern w:val="0"/>
                <w:sz w:val="24"/>
              </w:rPr>
              <w:t>度</w:t>
            </w:r>
            <w:r>
              <w:rPr>
                <w:rFonts w:hint="eastAsia" w:ascii="宋体" w:hAnsi="宋体" w:eastAsia="宋体" w:cs="宋体"/>
                <w:kern w:val="0"/>
                <w:sz w:val="24"/>
              </w:rPr>
              <w:br w:type="textWrapping"/>
            </w:r>
            <w:r>
              <w:rPr>
                <w:rFonts w:hint="eastAsia" w:ascii="宋体" w:hAnsi="宋体" w:eastAsia="宋体" w:cs="宋体"/>
                <w:kern w:val="0"/>
                <w:sz w:val="24"/>
              </w:rPr>
              <w:t>绩</w:t>
            </w:r>
            <w:r>
              <w:rPr>
                <w:rFonts w:hint="eastAsia" w:ascii="宋体" w:hAnsi="宋体" w:eastAsia="宋体" w:cs="宋体"/>
                <w:kern w:val="0"/>
                <w:sz w:val="24"/>
              </w:rPr>
              <w:br w:type="textWrapping"/>
            </w:r>
            <w:r>
              <w:rPr>
                <w:rFonts w:hint="eastAsia" w:ascii="宋体" w:hAnsi="宋体" w:eastAsia="宋体" w:cs="宋体"/>
                <w:kern w:val="0"/>
                <w:sz w:val="24"/>
              </w:rPr>
              <w:t>效</w:t>
            </w:r>
            <w:r>
              <w:rPr>
                <w:rFonts w:hint="eastAsia" w:ascii="宋体" w:hAnsi="宋体" w:eastAsia="宋体" w:cs="宋体"/>
                <w:kern w:val="0"/>
                <w:sz w:val="24"/>
              </w:rPr>
              <w:br w:type="textWrapping"/>
            </w:r>
            <w:r>
              <w:rPr>
                <w:rFonts w:hint="eastAsia" w:ascii="宋体" w:hAnsi="宋体" w:eastAsia="宋体" w:cs="宋体"/>
                <w:kern w:val="0"/>
                <w:sz w:val="24"/>
              </w:rPr>
              <w:t>指</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一级指标</w:t>
            </w:r>
          </w:p>
        </w:tc>
        <w:tc>
          <w:tcPr>
            <w:tcW w:w="19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22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24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预期指标值（包含数字及文字描述）</w:t>
            </w:r>
          </w:p>
        </w:tc>
        <w:tc>
          <w:tcPr>
            <w:tcW w:w="2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实际完成指标值（包含数字及文字描述）</w:t>
            </w:r>
          </w:p>
        </w:tc>
      </w:tr>
      <w:tr>
        <w:tblPrEx>
          <w:tblLayout w:type="fixed"/>
          <w:tblCellMar>
            <w:top w:w="0" w:type="dxa"/>
            <w:left w:w="108" w:type="dxa"/>
            <w:bottom w:w="0" w:type="dxa"/>
            <w:right w:w="108" w:type="dxa"/>
          </w:tblCellMar>
        </w:tblPrEx>
        <w:trPr>
          <w:trHeight w:val="447"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完成指标</w:t>
            </w:r>
          </w:p>
        </w:tc>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2250" w:type="dxa"/>
            <w:gridSpan w:val="2"/>
            <w:tcBorders>
              <w:top w:val="single" w:color="auto" w:sz="4" w:space="0"/>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color w:val="000000"/>
                <w:kern w:val="0"/>
                <w:sz w:val="22"/>
                <w:szCs w:val="22"/>
              </w:rPr>
              <w:t>保障性工资发放人数</w:t>
            </w:r>
          </w:p>
        </w:tc>
        <w:tc>
          <w:tcPr>
            <w:tcW w:w="244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w:t>
            </w:r>
            <w:r>
              <w:rPr>
                <w:rFonts w:hint="eastAsia" w:ascii="宋体" w:hAnsi="宋体" w:eastAsia="宋体" w:cs="宋体"/>
                <w:color w:val="000000"/>
                <w:kern w:val="0"/>
                <w:sz w:val="22"/>
                <w:szCs w:val="22"/>
                <w:lang w:val="en-US" w:eastAsia="zh-CN"/>
              </w:rPr>
              <w:t>≥154人</w:t>
            </w:r>
          </w:p>
        </w:tc>
        <w:tc>
          <w:tcPr>
            <w:tcW w:w="2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154人</w:t>
            </w:r>
          </w:p>
        </w:tc>
      </w:tr>
      <w:tr>
        <w:tblPrEx>
          <w:tblLayout w:type="fixed"/>
          <w:tblCellMar>
            <w:top w:w="0" w:type="dxa"/>
            <w:left w:w="108" w:type="dxa"/>
            <w:bottom w:w="0" w:type="dxa"/>
            <w:right w:w="108" w:type="dxa"/>
          </w:tblCellMar>
        </w:tblPrEx>
        <w:trPr>
          <w:trHeight w:val="285"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250" w:type="dxa"/>
            <w:gridSpan w:val="2"/>
            <w:tcBorders>
              <w:top w:val="single" w:color="auto" w:sz="4" w:space="0"/>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color w:val="000000"/>
                <w:kern w:val="0"/>
                <w:sz w:val="22"/>
                <w:szCs w:val="22"/>
              </w:rPr>
              <w:t>喀拉达拉镇支出总单位（个）</w:t>
            </w:r>
          </w:p>
        </w:tc>
        <w:tc>
          <w:tcPr>
            <w:tcW w:w="244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=10个</w:t>
            </w:r>
          </w:p>
        </w:tc>
        <w:tc>
          <w:tcPr>
            <w:tcW w:w="2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10个</w:t>
            </w:r>
          </w:p>
        </w:tc>
      </w:tr>
      <w:tr>
        <w:tblPrEx>
          <w:tblLayout w:type="fixed"/>
          <w:tblCellMar>
            <w:top w:w="0" w:type="dxa"/>
            <w:left w:w="108" w:type="dxa"/>
            <w:bottom w:w="0" w:type="dxa"/>
            <w:right w:w="108" w:type="dxa"/>
          </w:tblCellMar>
        </w:tblPrEx>
        <w:trPr>
          <w:trHeight w:val="285"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2250" w:type="dxa"/>
            <w:gridSpan w:val="2"/>
            <w:tcBorders>
              <w:top w:val="single" w:color="auto" w:sz="4" w:space="0"/>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color w:val="000000"/>
                <w:kern w:val="0"/>
                <w:sz w:val="22"/>
                <w:szCs w:val="22"/>
              </w:rPr>
              <w:t>全年全镇人员工资及社保错发漏发率</w:t>
            </w:r>
          </w:p>
        </w:tc>
        <w:tc>
          <w:tcPr>
            <w:tcW w:w="244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≤1%</w:t>
            </w:r>
          </w:p>
        </w:tc>
        <w:tc>
          <w:tcPr>
            <w:tcW w:w="2595" w:type="dxa"/>
            <w:gridSpan w:val="2"/>
            <w:tcBorders>
              <w:top w:val="single" w:color="auto" w:sz="4" w:space="0"/>
              <w:left w:val="nil"/>
              <w:bottom w:val="single" w:color="auto" w:sz="4" w:space="0"/>
              <w:right w:val="single" w:color="000000" w:sz="4" w:space="0"/>
            </w:tcBorders>
            <w:shd w:val="clear" w:color="auto" w:fill="auto"/>
            <w:vAlign w:val="center"/>
          </w:tcPr>
          <w:p>
            <w:pPr>
              <w:widowControl/>
              <w:ind w:firstLine="220" w:firstLineChars="10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0</w:t>
            </w:r>
            <w:r>
              <w:rPr>
                <w:rFonts w:hint="eastAsia" w:ascii="宋体" w:hAnsi="宋体" w:eastAsia="宋体" w:cs="宋体"/>
                <w:color w:val="000000"/>
                <w:kern w:val="0"/>
                <w:sz w:val="22"/>
                <w:szCs w:val="22"/>
                <w:lang w:val="en-US" w:eastAsia="zh-CN"/>
              </w:rPr>
              <w:t>.1</w:t>
            </w:r>
            <w:r>
              <w:rPr>
                <w:rFonts w:hint="eastAsia" w:ascii="宋体" w:hAnsi="宋体" w:eastAsia="宋体" w:cs="宋体"/>
                <w:color w:val="000000"/>
                <w:kern w:val="0"/>
                <w:sz w:val="22"/>
                <w:szCs w:val="22"/>
              </w:rPr>
              <w:t>%　</w:t>
            </w:r>
          </w:p>
        </w:tc>
      </w:tr>
      <w:tr>
        <w:tblPrEx>
          <w:tblLayout w:type="fixed"/>
          <w:tblCellMar>
            <w:top w:w="0" w:type="dxa"/>
            <w:left w:w="108" w:type="dxa"/>
            <w:bottom w:w="0" w:type="dxa"/>
            <w:right w:w="108" w:type="dxa"/>
          </w:tblCellMar>
        </w:tblPrEx>
        <w:trPr>
          <w:trHeight w:val="285"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250" w:type="dxa"/>
            <w:gridSpan w:val="2"/>
            <w:tcBorders>
              <w:top w:val="single" w:color="auto" w:sz="4" w:space="0"/>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color w:val="000000"/>
                <w:kern w:val="0"/>
                <w:sz w:val="22"/>
                <w:szCs w:val="22"/>
              </w:rPr>
              <w:t>工资及公用经费准确率</w:t>
            </w:r>
          </w:p>
        </w:tc>
        <w:tc>
          <w:tcPr>
            <w:tcW w:w="244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≥99%</w:t>
            </w:r>
          </w:p>
        </w:tc>
        <w:tc>
          <w:tcPr>
            <w:tcW w:w="2595" w:type="dxa"/>
            <w:gridSpan w:val="2"/>
            <w:tcBorders>
              <w:top w:val="single" w:color="auto" w:sz="4" w:space="0"/>
              <w:left w:val="nil"/>
              <w:bottom w:val="single" w:color="auto" w:sz="4" w:space="0"/>
              <w:right w:val="single" w:color="000000" w:sz="4" w:space="0"/>
            </w:tcBorders>
            <w:shd w:val="clear" w:color="auto" w:fill="auto"/>
            <w:vAlign w:val="center"/>
          </w:tcPr>
          <w:p>
            <w:pPr>
              <w:widowControl/>
              <w:ind w:firstLine="220" w:firstLineChars="100"/>
              <w:jc w:val="both"/>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99</w:t>
            </w:r>
            <w:r>
              <w:rPr>
                <w:rFonts w:hint="eastAsia" w:ascii="宋体" w:hAnsi="宋体" w:eastAsia="宋体" w:cs="宋体"/>
                <w:color w:val="000000"/>
                <w:kern w:val="0"/>
                <w:sz w:val="22"/>
                <w:szCs w:val="22"/>
              </w:rPr>
              <w:t>%　</w:t>
            </w:r>
          </w:p>
        </w:tc>
      </w:tr>
      <w:tr>
        <w:tblPrEx>
          <w:tblLayout w:type="fixed"/>
          <w:tblCellMar>
            <w:top w:w="0" w:type="dxa"/>
            <w:left w:w="108" w:type="dxa"/>
            <w:bottom w:w="0" w:type="dxa"/>
            <w:right w:w="108" w:type="dxa"/>
          </w:tblCellMar>
        </w:tblPrEx>
        <w:trPr>
          <w:trHeight w:val="285"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时效指标</w:t>
            </w:r>
          </w:p>
        </w:tc>
        <w:tc>
          <w:tcPr>
            <w:tcW w:w="2250" w:type="dxa"/>
            <w:gridSpan w:val="2"/>
            <w:tcBorders>
              <w:top w:val="single" w:color="auto" w:sz="4" w:space="0"/>
              <w:left w:val="nil"/>
              <w:bottom w:val="single" w:color="auto" w:sz="4" w:space="0"/>
              <w:right w:val="nil"/>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工资及社保发放及时性</w:t>
            </w:r>
          </w:p>
        </w:tc>
        <w:tc>
          <w:tcPr>
            <w:tcW w:w="244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≥100%</w:t>
            </w:r>
          </w:p>
        </w:tc>
        <w:tc>
          <w:tcPr>
            <w:tcW w:w="2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100%</w:t>
            </w:r>
          </w:p>
        </w:tc>
      </w:tr>
      <w:tr>
        <w:tblPrEx>
          <w:tblLayout w:type="fixed"/>
          <w:tblCellMar>
            <w:top w:w="0" w:type="dxa"/>
            <w:left w:w="108" w:type="dxa"/>
            <w:bottom w:w="0" w:type="dxa"/>
            <w:right w:w="108" w:type="dxa"/>
          </w:tblCellMar>
        </w:tblPrEx>
        <w:trPr>
          <w:trHeight w:val="285"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2250" w:type="dxa"/>
            <w:gridSpan w:val="2"/>
            <w:tcBorders>
              <w:top w:val="single" w:color="auto" w:sz="4" w:space="0"/>
              <w:left w:val="nil"/>
              <w:bottom w:val="single" w:color="auto" w:sz="4" w:space="0"/>
              <w:right w:val="nil"/>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人均支出标准</w:t>
            </w:r>
          </w:p>
        </w:tc>
        <w:tc>
          <w:tcPr>
            <w:tcW w:w="2445" w:type="dxa"/>
            <w:gridSpan w:val="2"/>
            <w:tcBorders>
              <w:top w:val="nil"/>
              <w:left w:val="single" w:color="auto" w:sz="4" w:space="0"/>
              <w:bottom w:val="single" w:color="auto" w:sz="4" w:space="0"/>
              <w:right w:val="single" w:color="auto" w:sz="4" w:space="0"/>
            </w:tcBorders>
            <w:shd w:val="clear" w:color="auto" w:fill="auto"/>
            <w:vAlign w:val="bottom"/>
          </w:tcPr>
          <w:p>
            <w:pPr>
              <w:widowControl/>
              <w:ind w:firstLine="220" w:firstLineChars="10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≤9.71万元</w:t>
            </w:r>
          </w:p>
        </w:tc>
        <w:tc>
          <w:tcPr>
            <w:tcW w:w="2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9.71</w:t>
            </w:r>
            <w:r>
              <w:rPr>
                <w:rFonts w:hint="eastAsia" w:ascii="宋体" w:hAnsi="宋体" w:eastAsia="宋体" w:cs="宋体"/>
                <w:color w:val="000000"/>
                <w:kern w:val="0"/>
                <w:sz w:val="22"/>
                <w:szCs w:val="22"/>
              </w:rPr>
              <w:t>万元</w:t>
            </w:r>
          </w:p>
        </w:tc>
      </w:tr>
      <w:tr>
        <w:tblPrEx>
          <w:tblLayout w:type="fixed"/>
          <w:tblCellMar>
            <w:top w:w="0" w:type="dxa"/>
            <w:left w:w="108" w:type="dxa"/>
            <w:bottom w:w="0" w:type="dxa"/>
            <w:right w:w="108" w:type="dxa"/>
          </w:tblCellMar>
        </w:tblPrEx>
        <w:trPr>
          <w:trHeight w:val="285"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250" w:type="dxa"/>
            <w:gridSpan w:val="2"/>
            <w:tcBorders>
              <w:top w:val="single" w:color="auto" w:sz="4" w:space="0"/>
              <w:left w:val="nil"/>
              <w:bottom w:val="single" w:color="auto" w:sz="4" w:space="0"/>
              <w:right w:val="nil"/>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人均运转经费数</w:t>
            </w:r>
          </w:p>
        </w:tc>
        <w:tc>
          <w:tcPr>
            <w:tcW w:w="244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≤1.3万元</w:t>
            </w:r>
          </w:p>
        </w:tc>
        <w:tc>
          <w:tcPr>
            <w:tcW w:w="2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1.30</w:t>
            </w:r>
            <w:r>
              <w:rPr>
                <w:rFonts w:hint="eastAsia" w:ascii="宋体" w:hAnsi="宋体" w:eastAsia="宋体" w:cs="宋体"/>
                <w:color w:val="000000"/>
                <w:kern w:val="0"/>
                <w:sz w:val="22"/>
                <w:szCs w:val="22"/>
              </w:rPr>
              <w:t>万元</w:t>
            </w:r>
          </w:p>
        </w:tc>
      </w:tr>
      <w:tr>
        <w:tblPrEx>
          <w:tblLayout w:type="fixed"/>
          <w:tblCellMar>
            <w:top w:w="0" w:type="dxa"/>
            <w:left w:w="108" w:type="dxa"/>
            <w:bottom w:w="0" w:type="dxa"/>
            <w:right w:w="108" w:type="dxa"/>
          </w:tblCellMar>
        </w:tblPrEx>
        <w:trPr>
          <w:trHeight w:val="285"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效益指标</w:t>
            </w:r>
          </w:p>
        </w:tc>
        <w:tc>
          <w:tcPr>
            <w:tcW w:w="1920"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经济效益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250" w:type="dxa"/>
            <w:gridSpan w:val="2"/>
            <w:tcBorders>
              <w:top w:val="single" w:color="auto" w:sz="4" w:space="0"/>
              <w:left w:val="nil"/>
              <w:bottom w:val="single" w:color="auto" w:sz="4" w:space="0"/>
              <w:right w:val="nil"/>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带动当地居民增加年收入额（元）</w:t>
            </w:r>
          </w:p>
        </w:tc>
        <w:tc>
          <w:tcPr>
            <w:tcW w:w="244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≥300元</w:t>
            </w:r>
          </w:p>
        </w:tc>
        <w:tc>
          <w:tcPr>
            <w:tcW w:w="2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300</w:t>
            </w:r>
            <w:r>
              <w:rPr>
                <w:rFonts w:hint="eastAsia" w:ascii="宋体" w:hAnsi="宋体" w:eastAsia="宋体" w:cs="宋体"/>
                <w:color w:val="000000"/>
                <w:kern w:val="0"/>
                <w:sz w:val="22"/>
                <w:szCs w:val="22"/>
              </w:rPr>
              <w:t>元</w:t>
            </w:r>
          </w:p>
        </w:tc>
      </w:tr>
      <w:tr>
        <w:tblPrEx>
          <w:tblLayout w:type="fixed"/>
          <w:tblCellMar>
            <w:top w:w="0" w:type="dxa"/>
            <w:left w:w="108" w:type="dxa"/>
            <w:bottom w:w="0" w:type="dxa"/>
            <w:right w:w="108" w:type="dxa"/>
          </w:tblCellMar>
        </w:tblPrEx>
        <w:trPr>
          <w:trHeight w:val="285"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250" w:type="dxa"/>
            <w:gridSpan w:val="2"/>
            <w:tcBorders>
              <w:top w:val="single" w:color="auto" w:sz="4" w:space="0"/>
              <w:left w:val="nil"/>
              <w:bottom w:val="single" w:color="auto" w:sz="4" w:space="0"/>
              <w:right w:val="nil"/>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提供公共服务水平</w:t>
            </w:r>
          </w:p>
        </w:tc>
        <w:tc>
          <w:tcPr>
            <w:tcW w:w="244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有效提升</w:t>
            </w:r>
          </w:p>
        </w:tc>
        <w:tc>
          <w:tcPr>
            <w:tcW w:w="2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有效提升</w:t>
            </w:r>
          </w:p>
        </w:tc>
      </w:tr>
      <w:tr>
        <w:tblPrEx>
          <w:tblLayout w:type="fixed"/>
          <w:tblCellMar>
            <w:top w:w="0" w:type="dxa"/>
            <w:left w:w="108" w:type="dxa"/>
            <w:bottom w:w="0" w:type="dxa"/>
            <w:right w:w="108" w:type="dxa"/>
          </w:tblCellMar>
        </w:tblPrEx>
        <w:trPr>
          <w:trHeight w:val="285"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250" w:type="dxa"/>
            <w:gridSpan w:val="2"/>
            <w:tcBorders>
              <w:top w:val="single" w:color="auto" w:sz="4" w:space="0"/>
              <w:left w:val="nil"/>
              <w:bottom w:val="single" w:color="auto" w:sz="4" w:space="0"/>
              <w:right w:val="nil"/>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扩大辖区绿化面积</w:t>
            </w:r>
          </w:p>
        </w:tc>
        <w:tc>
          <w:tcPr>
            <w:tcW w:w="244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≥10%</w:t>
            </w:r>
          </w:p>
        </w:tc>
        <w:tc>
          <w:tcPr>
            <w:tcW w:w="2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10</w:t>
            </w:r>
            <w:r>
              <w:rPr>
                <w:rFonts w:hint="eastAsia" w:ascii="宋体" w:hAnsi="宋体" w:eastAsia="宋体" w:cs="宋体"/>
                <w:color w:val="000000"/>
                <w:kern w:val="0"/>
                <w:sz w:val="22"/>
                <w:szCs w:val="22"/>
              </w:rPr>
              <w:t>%</w:t>
            </w:r>
          </w:p>
        </w:tc>
      </w:tr>
      <w:tr>
        <w:tblPrEx>
          <w:tblLayout w:type="fixed"/>
          <w:tblCellMar>
            <w:top w:w="0" w:type="dxa"/>
            <w:left w:w="108" w:type="dxa"/>
            <w:bottom w:w="0" w:type="dxa"/>
            <w:right w:w="108" w:type="dxa"/>
          </w:tblCellMar>
        </w:tblPrEx>
        <w:trPr>
          <w:trHeight w:val="285"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250" w:type="dxa"/>
            <w:gridSpan w:val="2"/>
            <w:tcBorders>
              <w:top w:val="single" w:color="auto" w:sz="4" w:space="0"/>
              <w:left w:val="nil"/>
              <w:bottom w:val="single" w:color="auto" w:sz="4" w:space="0"/>
              <w:right w:val="nil"/>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垃圾清理批次有所提高</w:t>
            </w:r>
          </w:p>
        </w:tc>
        <w:tc>
          <w:tcPr>
            <w:tcW w:w="2445" w:type="dxa"/>
            <w:gridSpan w:val="2"/>
            <w:tcBorders>
              <w:top w:val="nil"/>
              <w:left w:val="single" w:color="auto" w:sz="4" w:space="0"/>
              <w:bottom w:val="single" w:color="auto" w:sz="4" w:space="0"/>
              <w:right w:val="single" w:color="auto" w:sz="4" w:space="0"/>
            </w:tcBorders>
            <w:shd w:val="clear" w:color="auto" w:fill="auto"/>
            <w:vAlign w:val="center"/>
          </w:tcPr>
          <w:p>
            <w:pPr>
              <w:widowControl/>
              <w:ind w:firstLine="210" w:firstLineChars="100"/>
              <w:jc w:val="left"/>
              <w:rPr>
                <w:rFonts w:hint="eastAsia" w:ascii="宋体" w:hAnsi="宋体" w:eastAsia="宋体" w:cs="宋体"/>
                <w:color w:val="000000"/>
                <w:kern w:val="0"/>
                <w:sz w:val="22"/>
                <w:szCs w:val="22"/>
              </w:rPr>
            </w:pPr>
            <w:r>
              <w:rPr>
                <w:rFonts w:hint="eastAsia"/>
              </w:rPr>
              <w:t>≥15%</w:t>
            </w:r>
          </w:p>
        </w:tc>
        <w:tc>
          <w:tcPr>
            <w:tcW w:w="2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15</w:t>
            </w:r>
            <w:r>
              <w:rPr>
                <w:rFonts w:hint="eastAsia" w:ascii="宋体" w:hAnsi="宋体" w:eastAsia="宋体" w:cs="宋体"/>
                <w:color w:val="000000"/>
                <w:kern w:val="0"/>
                <w:sz w:val="22"/>
                <w:szCs w:val="22"/>
              </w:rPr>
              <w:t>%</w:t>
            </w:r>
          </w:p>
        </w:tc>
      </w:tr>
      <w:tr>
        <w:tblPrEx>
          <w:tblLayout w:type="fixed"/>
          <w:tblCellMar>
            <w:top w:w="0" w:type="dxa"/>
            <w:left w:w="108" w:type="dxa"/>
            <w:bottom w:w="0" w:type="dxa"/>
            <w:right w:w="108" w:type="dxa"/>
          </w:tblCellMar>
        </w:tblPrEx>
        <w:trPr>
          <w:trHeight w:val="867"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2250" w:type="dxa"/>
            <w:gridSpan w:val="2"/>
            <w:tcBorders>
              <w:top w:val="single" w:color="auto" w:sz="4" w:space="0"/>
              <w:left w:val="nil"/>
              <w:bottom w:val="single" w:color="auto" w:sz="4" w:space="0"/>
              <w:right w:val="nil"/>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辖区群众满意度</w:t>
            </w:r>
          </w:p>
        </w:tc>
        <w:tc>
          <w:tcPr>
            <w:tcW w:w="244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≥95%</w:t>
            </w:r>
          </w:p>
        </w:tc>
        <w:tc>
          <w:tcPr>
            <w:tcW w:w="2595" w:type="dxa"/>
            <w:gridSpan w:val="2"/>
            <w:tcBorders>
              <w:top w:val="single" w:color="auto" w:sz="4" w:space="0"/>
              <w:left w:val="nil"/>
              <w:bottom w:val="single" w:color="auto" w:sz="4" w:space="0"/>
              <w:right w:val="single" w:color="000000" w:sz="4" w:space="0"/>
            </w:tcBorders>
            <w:shd w:val="clear" w:color="auto" w:fill="auto"/>
            <w:vAlign w:val="center"/>
          </w:tcPr>
          <w:p>
            <w:pPr>
              <w:widowControl/>
              <w:ind w:firstLine="220" w:firstLineChars="10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95</w:t>
            </w:r>
            <w:r>
              <w:rPr>
                <w:rFonts w:hint="eastAsia" w:ascii="宋体" w:hAnsi="宋体" w:eastAsia="宋体" w:cs="宋体"/>
                <w:color w:val="000000"/>
                <w:kern w:val="0"/>
                <w:sz w:val="22"/>
                <w:szCs w:val="22"/>
              </w:rPr>
              <w:t>%　</w:t>
            </w:r>
          </w:p>
        </w:tc>
      </w:tr>
      <w:tr>
        <w:tblPrEx>
          <w:tblLayout w:type="fixed"/>
          <w:tblCellMar>
            <w:top w:w="0" w:type="dxa"/>
            <w:left w:w="108" w:type="dxa"/>
            <w:bottom w:w="0" w:type="dxa"/>
            <w:right w:w="108" w:type="dxa"/>
          </w:tblCellMar>
        </w:tblPrEx>
        <w:trPr>
          <w:trHeight w:val="285" w:hRule="atLeast"/>
        </w:trPr>
        <w:tc>
          <w:tcPr>
            <w:tcW w:w="49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6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250" w:type="dxa"/>
            <w:gridSpan w:val="2"/>
            <w:tcBorders>
              <w:top w:val="single" w:color="auto" w:sz="4" w:space="0"/>
              <w:left w:val="nil"/>
              <w:bottom w:val="single" w:color="auto" w:sz="4" w:space="0"/>
              <w:right w:val="nil"/>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来往游客满意度</w:t>
            </w:r>
          </w:p>
        </w:tc>
        <w:tc>
          <w:tcPr>
            <w:tcW w:w="244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≥97%</w:t>
            </w:r>
          </w:p>
        </w:tc>
        <w:tc>
          <w:tcPr>
            <w:tcW w:w="2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97</w:t>
            </w:r>
            <w:r>
              <w:rPr>
                <w:rFonts w:hint="eastAsia" w:ascii="宋体" w:hAnsi="宋体" w:eastAsia="宋体" w:cs="宋体"/>
                <w:color w:val="000000"/>
                <w:kern w:val="0"/>
                <w:sz w:val="22"/>
                <w:szCs w:val="22"/>
              </w:rPr>
              <w:t>%</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0AFF" w:usb1="00007843" w:usb2="00000001" w:usb3="00000000" w:csb0="400001BF" w:csb1="DFF7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1F1B0A"/>
    <w:multiLevelType w:val="singleLevel"/>
    <w:tmpl w:val="E41F1B0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2B1711F"/>
    <w:rsid w:val="0E9A5E97"/>
    <w:rsid w:val="1A240E45"/>
    <w:rsid w:val="1EB60E4D"/>
    <w:rsid w:val="1F1E08B8"/>
    <w:rsid w:val="20F4078C"/>
    <w:rsid w:val="2A6861C3"/>
    <w:rsid w:val="2E351B33"/>
    <w:rsid w:val="3E7E199F"/>
    <w:rsid w:val="4C0229DD"/>
    <w:rsid w:val="51350E8D"/>
    <w:rsid w:val="5AA33536"/>
    <w:rsid w:val="5AE476BD"/>
    <w:rsid w:val="5EB6617F"/>
    <w:rsid w:val="63A956A6"/>
    <w:rsid w:val="664D45E3"/>
    <w:rsid w:val="6EAC6CF9"/>
    <w:rsid w:val="76A95236"/>
    <w:rsid w:val="77A00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0"/>
    <w:rPr>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9523</Words>
  <Characters>10154</Characters>
  <Lines>72</Lines>
  <Paragraphs>20</Paragraphs>
  <TotalTime>9</TotalTime>
  <ScaleCrop>false</ScaleCrop>
  <LinksUpToDate>false</LinksUpToDate>
  <CharactersWithSpaces>10200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wq</cp:lastModifiedBy>
  <dcterms:modified xsi:type="dcterms:W3CDTF">2023-08-11T03:42:31Z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663D1CAF3B7F4F8F859209AC98D876B0</vt:lpwstr>
  </property>
</Properties>
</file>